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Calibri" w:cs="Calibri" w:eastAsia="Calibri" w:hAnsi="Calibri"/>
          <w:b/>
          <w:bCs/>
          <w:color w:val="006D6D"/>
          <w:sz w:val="24"/>
          <w:szCs w:val="24"/>
        </w:rPr>
        <w:t xml:space="preserve">EQUITY RESEARCH — INITIATION OF COVERAGE</w:t>
      </w:r>
    </w:p>
    <w:p>
      <w:pPr>
        <w:spacing w:after="100"/>
        <w:jc w:val="center"/>
      </w:pPr>
      <w:r>
        <w:rPr>
          <w:rFonts w:ascii="Calibri" w:cs="Calibri" w:eastAsia="Calibri" w:hAnsi="Calibri"/>
          <w:b/>
          <w:bCs/>
          <w:color w:val="1A1A1A"/>
          <w:sz w:val="48"/>
          <w:szCs w:val="48"/>
        </w:rPr>
        <w:t xml:space="preserve">UnitedHealth Group Incorporated</w:t>
      </w:r>
    </w:p>
    <w:p>
      <w:pPr>
        <w:spacing w:after="80"/>
        <w:jc w:val="center"/>
      </w:pPr>
      <w:r>
        <w:rPr>
          <w:rFonts w:ascii="Calibri" w:cs="Calibri" w:eastAsia="Calibri" w:hAnsi="Calibri"/>
          <w:color w:val="006D6D"/>
          <w:sz w:val="28"/>
          <w:szCs w:val="28"/>
        </w:rPr>
        <w:t xml:space="preserve">NYSE: UNH</w:t>
      </w:r>
    </w:p>
    <w:p>
      <w:pPr>
        <w:spacing w:after="400"/>
        <w:jc w:val="center"/>
      </w:pPr>
      <w:r>
        <w:rPr>
          <w:rFonts w:ascii="Calibri" w:cs="Calibri" w:eastAsia="Calibri" w:hAnsi="Calibri"/>
          <w:color w:val="888888"/>
          <w:sz w:val="22"/>
          <w:szCs w:val="22"/>
        </w:rPr>
        <w:t xml:space="preserve">Managed Care | Healthcare Services | Pharmacy Benefits</w:t>
      </w:r>
    </w:p>
    <w:p>
      <w:pPr>
        <w:spacing w:after="80"/>
      </w:pPr>
    </w:p>
    <w:p>
      <w:pPr>
        <w:spacing w:after="120"/>
        <w:jc w:val="center"/>
      </w:pPr>
      <w:r>
        <w:rPr>
          <w:rFonts w:ascii="Calibri" w:cs="Calibri" w:eastAsia="Calibri" w:hAnsi="Calibri"/>
          <w:b/>
          <w:bCs/>
          <w:color w:val="006D6D"/>
          <w:sz w:val="32"/>
          <w:szCs w:val="32"/>
        </w:rPr>
        <w:t xml:space="preserve">RATING: HOLD</w:t>
      </w:r>
    </w:p>
    <w:p>
      <w:pPr>
        <w:spacing w:after="80"/>
        <w:jc w:val="center"/>
      </w:pPr>
      <w:r>
        <w:rPr>
          <w:rFonts w:ascii="Calibri" w:cs="Calibri" w:eastAsia="Calibri" w:hAnsi="Calibri"/>
          <w:color w:val="1A1A1A"/>
          <w:sz w:val="24"/>
          <w:szCs w:val="24"/>
        </w:rPr>
        <w:t xml:space="preserve">Fair Value Range: $280 – $370 per share</w:t>
      </w:r>
    </w:p>
    <w:p>
      <w:pPr>
        <w:spacing w:after="80"/>
        <w:jc w:val="center"/>
      </w:pPr>
      <w:r>
        <w:rPr>
          <w:rFonts w:ascii="Calibri" w:cs="Calibri" w:eastAsia="Calibri" w:hAnsi="Calibri"/>
          <w:color w:val="888888"/>
          <w:sz w:val="22"/>
          <w:szCs w:val="22"/>
        </w:rPr>
        <w:t xml:space="preserve">Current Price: $259.02 (as of March 28, 2026)</w:t>
      </w:r>
    </w:p>
    <w:p>
      <w:pPr>
        <w:spacing w:after="80"/>
        <w:jc w:val="center"/>
      </w:pPr>
      <w:r>
        <w:rPr>
          <w:rFonts w:ascii="Calibri" w:cs="Calibri" w:eastAsia="Calibri" w:hAnsi="Calibri"/>
          <w:color w:val="888888"/>
          <w:sz w:val="22"/>
          <w:szCs w:val="22"/>
        </w:rPr>
        <w:t xml:space="preserve">Probability-Weighted Fair Value: $325</w:t>
      </w:r>
    </w:p>
    <w:p>
      <w:pPr>
        <w:spacing w:after="80"/>
      </w:pPr>
    </w:p>
    <w:p>
      <w:pPr>
        <w:spacing w:after="80"/>
      </w:pPr>
    </w:p>
    <w:p>
      <w:pPr>
        <w:spacing w:after="80"/>
      </w:pPr>
    </w:p>
    <w:p>
      <w:pPr>
        <w:spacing w:after="80"/>
        <w:jc w:val="center"/>
      </w:pPr>
      <w:r>
        <w:rPr>
          <w:rFonts w:ascii="Calibri" w:cs="Calibri" w:eastAsia="Calibri" w:hAnsi="Calibri"/>
          <w:color w:val="1A1A1A"/>
          <w:sz w:val="22"/>
          <w:szCs w:val="22"/>
        </w:rPr>
        <w:t xml:space="preserve">March 28, 2026</w:t>
      </w:r>
    </w:p>
    <w:p>
      <w:pPr>
        <w:spacing w:after="80"/>
        <w:jc w:val="center"/>
      </w:pPr>
      <w:r>
        <w:rPr>
          <w:rFonts w:ascii="Calibri" w:cs="Calibri" w:eastAsia="Calibri" w:hAnsi="Calibri"/>
          <w:color w:val="888888"/>
          <w:sz w:val="20"/>
          <w:szCs w:val="20"/>
        </w:rPr>
        <w:t xml:space="preserve">Prepared for Institutional Investors</w:t>
      </w:r>
    </w:p>
    <w:p>
      <w:pPr>
        <w:jc w:val="center"/>
      </w:pPr>
      <w:r>
        <w:rPr>
          <w:rFonts w:ascii="Calibri" w:cs="Calibri" w:eastAsia="Calibri" w:hAnsi="Calibri"/>
          <w:i/>
          <w:iCs/>
          <w:color w:val="888888"/>
          <w:sz w:val="18"/>
          <w:szCs w:val="18"/>
        </w:rPr>
        <w:t xml:space="preserve">Data Sources: Quartr MCP Integration (Company Filings), Public Market Data</w:t>
      </w:r>
    </w:p>
    <w:p>
      <w:r>
        <w:br w:type="page"/>
      </w:r>
    </w:p>
    <w:p>
      <w:pPr>
        <w:pStyle w:val="Heading1"/>
        <w:spacing w:after="200" w:before="360"/>
      </w:pPr>
      <w:r>
        <w:rPr>
          <w:rFonts w:ascii="Calibri" w:cs="Calibri" w:eastAsia="Calibri" w:hAnsi="Calibri"/>
          <w:b/>
          <w:bCs/>
          <w:color w:val="1A1A1A"/>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200" w:before="360"/>
      </w:pPr>
      <w:r>
        <w:rPr>
          <w:rFonts w:ascii="Calibri" w:cs="Calibri" w:eastAsia="Calibri" w:hAnsi="Calibri"/>
          <w:b/>
          <w:bCs/>
          <w:color w:val="1A1A1A"/>
          <w:sz w:val="32"/>
          <w:szCs w:val="32"/>
        </w:rPr>
        <w:t xml:space="preserve">Executive Summary</w:t>
      </w:r>
    </w:p>
    <w:p>
      <w:pPr>
        <w:spacing w:after="160"/>
        <w:jc w:val="both"/>
      </w:pPr>
      <w:r>
        <w:rPr>
          <w:rFonts w:ascii="Calibri" w:cs="Calibri" w:eastAsia="Calibri" w:hAnsi="Calibri"/>
          <w:color w:val="1A1A1A"/>
          <w:sz w:val="22"/>
          <w:szCs w:val="22"/>
        </w:rPr>
        <w:t xml:space="preserve">UnitedHealth Group (NYSE: UNH) is the world’s largest managed care organization and diversified health services company, with $447.6 billion in FY2025 revenue across four operating segments: UnitedHealthcare ($344.9B), Optum Health ($101.9B), Optum Insight ($19.4B), and Optum Rx ($154.7B). The company serves approximately 49.3 million members in FY2025 across employer-sponsored, Medicare Advantage, Medicaid, and individual exchange plans.</w:t>
      </w:r>
    </w:p>
    <w:p>
      <w:pPr>
        <w:pStyle w:val="Heading2"/>
        <w:spacing w:after="160" w:before="280"/>
      </w:pPr>
      <w:r>
        <w:rPr>
          <w:rFonts w:ascii="Calibri" w:cs="Calibri" w:eastAsia="Calibri" w:hAnsi="Calibri"/>
          <w:b/>
          <w:bCs/>
          <w:color w:val="006D6D"/>
          <w:sz w:val="26"/>
          <w:szCs w:val="26"/>
        </w:rPr>
        <w:t xml:space="preserve">Investment Thesis at a Glance</w:t>
      </w:r>
    </w:p>
    <w:p>
      <w:pPr>
        <w:spacing w:after="160"/>
        <w:jc w:val="both"/>
      </w:pPr>
      <w:r>
        <w:rPr>
          <w:rFonts w:ascii="Calibri" w:cs="Calibri" w:eastAsia="Calibri" w:hAnsi="Calibri"/>
          <w:color w:val="1A1A1A"/>
          <w:sz w:val="22"/>
          <w:szCs w:val="22"/>
        </w:rPr>
        <w:t xml:space="preserve">We initiate coverage of UNH with a </w:t>
      </w:r>
      <w:r>
        <w:rPr>
          <w:rFonts w:ascii="Calibri" w:cs="Calibri" w:eastAsia="Calibri" w:hAnsi="Calibri"/>
          <w:b/>
          <w:bCs/>
          <w:color w:val="1A1A1A"/>
          <w:sz w:val="22"/>
          <w:szCs w:val="22"/>
        </w:rPr>
        <w:t xml:space="preserve">HOLD</w:t>
      </w:r>
      <w:r>
        <w:rPr>
          <w:rFonts w:ascii="Calibri" w:cs="Calibri" w:eastAsia="Calibri" w:hAnsi="Calibri"/>
          <w:color w:val="1A1A1A"/>
          <w:sz w:val="22"/>
          <w:szCs w:val="22"/>
        </w:rPr>
        <w:t xml:space="preserve"> rating and a fair value range of </w:t>
      </w:r>
      <w:r>
        <w:rPr>
          <w:rFonts w:ascii="Calibri" w:cs="Calibri" w:eastAsia="Calibri" w:hAnsi="Calibri"/>
          <w:b/>
          <w:bCs/>
          <w:color w:val="1A1A1A"/>
          <w:sz w:val="22"/>
          <w:szCs w:val="22"/>
        </w:rPr>
        <w:t xml:space="preserve">$280–$370 per share</w:t>
      </w:r>
      <w:r>
        <w:rPr>
          <w:rFonts w:ascii="Calibri" w:cs="Calibri" w:eastAsia="Calibri" w:hAnsi="Calibri"/>
          <w:color w:val="1A1A1A"/>
          <w:sz w:val="22"/>
          <w:szCs w:val="22"/>
        </w:rPr>
        <w:t xml:space="preserve">, with a probability-weighted fair value of </w:t>
      </w:r>
      <w:r>
        <w:rPr>
          <w:rFonts w:ascii="Calibri" w:cs="Calibri" w:eastAsia="Calibri" w:hAnsi="Calibri"/>
          <w:b/>
          <w:bCs/>
          <w:color w:val="1A1A1A"/>
          <w:sz w:val="22"/>
          <w:szCs w:val="22"/>
        </w:rPr>
        <w:t xml:space="preserve">$325</w:t>
      </w:r>
      <w:r>
        <w:rPr>
          <w:rFonts w:ascii="Calibri" w:cs="Calibri" w:eastAsia="Calibri" w:hAnsi="Calibri"/>
          <w:color w:val="1A1A1A"/>
          <w:sz w:val="22"/>
          <w:szCs w:val="22"/>
        </w:rPr>
        <w:t xml:space="preserve">. At the current price of $259.02, UNH trades approximately 20% below our probability-weighted estimate, but the margin of safety is insufficient given the concentration of execution risks in 2026.</w:t>
      </w:r>
    </w:p>
    <w:p>
      <w:pPr>
        <w:spacing w:after="160"/>
        <w:jc w:val="both"/>
      </w:pPr>
      <w:r>
        <w:rPr>
          <w:rFonts w:ascii="Calibri" w:cs="Calibri" w:eastAsia="Calibri" w:hAnsi="Calibri"/>
          <w:color w:val="1A1A1A"/>
          <w:sz w:val="22"/>
          <w:szCs w:val="22"/>
        </w:rPr>
        <w:t xml:space="preserve">The core tension in UNH’s investment case is between its structural competitive advantages—scale, vertical integration, data assets—and the near-term headwinds that have compressed margins and created significant earnings uncertainty. FY2025 Medical Care Ratio (MCR) deteriorated 360 basis points to 89.1%, the largest annual expansion in a decade. Management has guided to $17.75+ adjusted EPS for 2026, but this guidance depends on MCR stabilization at 88.8%, successful V28 risk model mitigation, and realization of restructuring cost savings—all of which carry meaningful execution risk.</w:t>
      </w:r>
    </w:p>
    <w:p>
      <w:pPr>
        <w:pStyle w:val="Heading2"/>
        <w:spacing w:after="160" w:before="280"/>
      </w:pPr>
      <w:r>
        <w:rPr>
          <w:rFonts w:ascii="Calibri" w:cs="Calibri" w:eastAsia="Calibri" w:hAnsi="Calibri"/>
          <w:b/>
          <w:bCs/>
          <w:color w:val="006D6D"/>
          <w:sz w:val="26"/>
          <w:szCs w:val="26"/>
        </w:rPr>
        <w:t xml:space="preserve">Key Metrics Snapshot</w:t>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3000"/>
        <w:gridCol w:w="1300"/>
        <w:gridCol w:w="1300"/>
        <w:gridCol w:w="1300"/>
        <w:gridCol w:w="1300"/>
      </w:tblGrid>
      <w:tr>
        <w:tc>
          <w:tcPr>
            <w:tcW w:type="dxa" w:w="3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Metric</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FY2023</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FY2024</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FY2025</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FY2026E</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Revenue ($B)</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$371.6</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$400.3</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$447.6</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~$440</w:t>
            </w:r>
          </w:p>
        </w:tc>
      </w:tr>
      <w:tr>
        <w:tc>
          <w:tcPr>
            <w:tcW w:type="dxa" w:w="3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Medical Care Ratio</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85.3%</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85.5%</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89.1%</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88.8% ±50bps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Adjusted EPS</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$23.86</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$19.00</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$16.35</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$17.75+</w:t>
            </w:r>
          </w:p>
        </w:tc>
      </w:tr>
      <w:tr>
        <w:tc>
          <w:tcPr>
            <w:tcW w:type="dxa" w:w="3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Economic EBITDA ($B)</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$35.3</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$35.4</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$35.4</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~$37</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Free Cash Flow ($B)</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$22.3</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$16.1</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$16.1</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w:t>
            </w:r>
          </w:p>
        </w:tc>
      </w:tr>
      <w:tr>
        <w:tc>
          <w:tcPr>
            <w:tcW w:type="dxa" w:w="3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Members (M)</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52.1</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49.3</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49.3</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47.0–47.5</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Dividend per Share</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$7.29</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$7.29</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$8.16</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~$8.50</w:t>
            </w:r>
          </w:p>
        </w:tc>
      </w:tr>
    </w:tbl>
    <w:p>
      <w:pPr>
        <w:spacing w:after="100"/>
      </w:pPr>
      <w:r>
        <w:rPr>
          <w:rFonts w:ascii="Calibri" w:cs="Calibri" w:eastAsia="Calibri" w:hAnsi="Calibri"/>
          <w:i/>
          <w:iCs/>
          <w:color w:val="666666"/>
          <w:sz w:val="18"/>
          <w:szCs w:val="18"/>
        </w:rPr>
        <w:t xml:space="preserve">Source: Quartr — 10-K FY2023–FY2025; Q4 2025 Earnings Call transcript; Management 2026 Guidance.</w:t>
      </w:r>
    </w:p>
    <w:p>
      <w:pPr>
        <w:pStyle w:val="Heading2"/>
        <w:spacing w:after="160" w:before="280"/>
      </w:pPr>
      <w:r>
        <w:rPr>
          <w:rFonts w:ascii="Calibri" w:cs="Calibri" w:eastAsia="Calibri" w:hAnsi="Calibri"/>
          <w:b/>
          <w:bCs/>
          <w:color w:val="006D6D"/>
          <w:sz w:val="26"/>
          <w:szCs w:val="26"/>
        </w:rPr>
        <w:t xml:space="preserve">Rating Rationale</w:t>
      </w:r>
    </w:p>
    <w:p>
      <w:pPr>
        <w:spacing w:after="160"/>
        <w:jc w:val="both"/>
      </w:pPr>
      <w:r>
        <w:rPr>
          <w:rFonts w:ascii="Calibri" w:cs="Calibri" w:eastAsia="Calibri" w:hAnsi="Calibri"/>
          <w:color w:val="1A1A1A"/>
          <w:sz w:val="22"/>
          <w:szCs w:val="22"/>
        </w:rPr>
        <w:t xml:space="preserve">Our HOLD rating reflects a balanced assessment: UNH’s structural moat (scale economies, vertical integration, regulatory barriers) supports long-term value creation, but near-term MCR uncertainty, a $5.3 billion annual expected risk-adjusted FCF drag (quantified across 12 discrete risk scenarios), and a binary 2026 earnings outlook argue against aggressive positioning. The stock is not expensive on a probability-weighted basis, but it is not cheap enough to compensate for the tail risks.</w:t>
      </w:r>
    </w:p>
    <w:p>
      <w:pPr>
        <w:pStyle w:val="Heading2"/>
        <w:spacing w:after="160" w:before="280"/>
      </w:pPr>
      <w:r>
        <w:rPr>
          <w:rFonts w:ascii="Calibri" w:cs="Calibri" w:eastAsia="Calibri" w:hAnsi="Calibri"/>
          <w:b/>
          <w:bCs/>
          <w:color w:val="006D6D"/>
          <w:sz w:val="26"/>
          <w:szCs w:val="26"/>
        </w:rPr>
        <w:t xml:space="preserve">Three Things to Watch</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Q1 2026 MCR (April 22, 2026 earnings):</w:t>
      </w:r>
      <w:r>
        <w:rPr>
          <w:rFonts w:ascii="Calibri" w:cs="Calibri" w:eastAsia="Calibri" w:hAnsi="Calibri"/>
          <w:color w:val="1A1A1A"/>
          <w:sz w:val="22"/>
          <w:szCs w:val="22"/>
        </w:rPr>
        <w:t xml:space="preserve"> If MCR exceeds 89.3%, the medical cost inflation variant thesis gains probability and the stock likely reprices 10–15% lower.</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Optum Health margin disclosure:</w:t>
      </w:r>
      <w:r>
        <w:rPr>
          <w:rFonts w:ascii="Calibri" w:cs="Calibri" w:eastAsia="Calibri" w:hAnsi="Calibri"/>
          <w:color w:val="1A1A1A"/>
          <w:sz w:val="22"/>
          <w:szCs w:val="22"/>
        </w:rPr>
        <w:t xml:space="preserve"> Management has not broken out Optum Health operating margin. If disclosed at &lt;2%, the integration thesis is challenged.</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DOJ antitrust review conclusion (Q3–Q4 2026):</w:t>
      </w:r>
      <w:r>
        <w:rPr>
          <w:rFonts w:ascii="Calibri" w:cs="Calibri" w:eastAsia="Calibri" w:hAnsi="Calibri"/>
          <w:color w:val="1A1A1A"/>
          <w:sz w:val="22"/>
          <w:szCs w:val="22"/>
        </w:rPr>
        <w:t xml:space="preserve"> A formal complaint would trigger 15–25% downside from forced divestiture scenarios.</w:t>
      </w:r>
    </w:p>
    <w:p>
      <w:pPr>
        <w:spacing w:after="100"/>
      </w:pPr>
      <w:r>
        <w:rPr>
          <w:rFonts w:ascii="Calibri" w:cs="Calibri" w:eastAsia="Calibri" w:hAnsi="Calibri"/>
          <w:i/>
          <w:iCs/>
          <w:color w:val="666666"/>
          <w:sz w:val="18"/>
          <w:szCs w:val="18"/>
        </w:rPr>
        <w:t xml:space="preserve">Source: Quartr — Q4 2025 Earnings Call (Doc ID: 2675770); 10-K FY2025.</w:t>
      </w:r>
    </w:p>
    <w:p>
      <w:r>
        <w:br w:type="page"/>
      </w:r>
    </w:p>
    <w:p>
      <w:pPr>
        <w:pStyle w:val="Heading1"/>
        <w:spacing w:after="200" w:before="360"/>
      </w:pPr>
      <w:r>
        <w:rPr>
          <w:rFonts w:ascii="Calibri" w:cs="Calibri" w:eastAsia="Calibri" w:hAnsi="Calibri"/>
          <w:b/>
          <w:bCs/>
          <w:color w:val="1A1A1A"/>
          <w:sz w:val="32"/>
          <w:szCs w:val="32"/>
        </w:rPr>
        <w:t xml:space="preserve">1. Business Model and Strategic Architecture</w:t>
      </w:r>
    </w:p>
    <w:p>
      <w:pPr>
        <w:spacing w:after="160"/>
        <w:jc w:val="both"/>
      </w:pPr>
      <w:r>
        <w:rPr>
          <w:rFonts w:ascii="Calibri" w:cs="Calibri" w:eastAsia="Calibri" w:hAnsi="Calibri"/>
          <w:color w:val="1A1A1A"/>
          <w:sz w:val="22"/>
          <w:szCs w:val="22"/>
        </w:rPr>
        <w:t xml:space="preserve">UnitedHealth Group operates through two reporting platforms—UnitedHealthcare (managed care insurance) and Optum (health services)—which together form what management describes as an “integrated care and coverage model.” The strategic logic is that insurance + care delivery + data analytics + pharmacy benefits creates a closed loop: UNH insures the risk, delivers the care, processes the data, and manages the drug spend.</w:t>
      </w:r>
    </w:p>
    <w:p>
      <w:pPr>
        <w:pStyle w:val="Heading2"/>
        <w:spacing w:after="160" w:before="280"/>
      </w:pPr>
      <w:r>
        <w:rPr>
          <w:rFonts w:ascii="Calibri" w:cs="Calibri" w:eastAsia="Calibri" w:hAnsi="Calibri"/>
          <w:b/>
          <w:bCs/>
          <w:color w:val="006D6D"/>
          <w:sz w:val="26"/>
          <w:szCs w:val="26"/>
        </w:rPr>
        <w:t xml:space="preserve">1.1 Segment Overview</w:t>
      </w:r>
    </w:p>
    <w:p>
      <w:pPr>
        <w:pStyle w:val="Heading3"/>
        <w:spacing w:after="120" w:before="200"/>
      </w:pPr>
      <w:r>
        <w:rPr>
          <w:rFonts w:ascii="Calibri" w:cs="Calibri" w:eastAsia="Calibri" w:hAnsi="Calibri"/>
          <w:b/>
          <w:bCs/>
          <w:color w:val="006D6D"/>
          <w:sz w:val="22"/>
          <w:szCs w:val="22"/>
        </w:rPr>
        <w:t xml:space="preserve">UnitedHealthcare ($344.9B Revenue, FY2025)</w:t>
      </w:r>
    </w:p>
    <w:p>
      <w:pPr>
        <w:spacing w:after="160"/>
        <w:jc w:val="both"/>
      </w:pPr>
      <w:r>
        <w:rPr>
          <w:rFonts w:ascii="Calibri" w:cs="Calibri" w:eastAsia="Calibri" w:hAnsi="Calibri"/>
          <w:color w:val="1A1A1A"/>
          <w:sz w:val="22"/>
          <w:szCs w:val="22"/>
        </w:rPr>
        <w:t xml:space="preserve">UnitedHealthcare is the insurance platform, collecting premiums and managing medical cost. It operates across four sub-segments: Employer &amp; Individual (commercial group and ACA exchange plans), Medicare &amp; Retirement (Medicare Advantage, Medicare Supplement, Part D), Community &amp; State (Medicaid managed care), and Global (Brazil, primarily Amil). In FY2025, UnitedHealthcare grew revenue 16% year-over-year, driven by premium rate increases partially offset by a 2.3–2.8 million member contraction guided for 2026.</w:t>
      </w:r>
    </w:p>
    <w:p>
      <w:pPr>
        <w:spacing w:after="160"/>
        <w:jc w:val="both"/>
      </w:pPr>
      <w:r>
        <w:rPr>
          <w:rFonts w:ascii="Calibri" w:cs="Calibri" w:eastAsia="Calibri" w:hAnsi="Calibri"/>
          <w:color w:val="1A1A1A"/>
          <w:sz w:val="22"/>
          <w:szCs w:val="22"/>
        </w:rPr>
        <w:t xml:space="preserve">CEO Timothy Noel stated on the Q4 2025 earnings call: “We expect to serve between 47.0 and 47.5 million people across our benefits businesses in 2026, with the contraction primarily reflecting our disciplined approach to ensuring rates adequately cover medical costs.” This language signals active exit from unprofitable segments—principally ACA exchange plans and Medicaid contracts with inadequate reimbursement rates.</w:t>
      </w:r>
    </w:p>
    <w:p>
      <w:pPr>
        <w:spacing w:after="100"/>
      </w:pPr>
      <w:r>
        <w:rPr>
          <w:rFonts w:ascii="Calibri" w:cs="Calibri" w:eastAsia="Calibri" w:hAnsi="Calibri"/>
          <w:i/>
          <w:iCs/>
          <w:color w:val="666666"/>
          <w:sz w:val="18"/>
          <w:szCs w:val="18"/>
        </w:rPr>
        <w:t xml:space="preserve">Source: Quartr — Q4 2025 Earnings Call Transcript (Doc ID: 2675770), Timothy Noel remarks.</w:t>
      </w:r>
    </w:p>
    <w:p>
      <w:pPr>
        <w:pStyle w:val="Heading3"/>
        <w:spacing w:after="120" w:before="200"/>
      </w:pPr>
      <w:r>
        <w:rPr>
          <w:rFonts w:ascii="Calibri" w:cs="Calibri" w:eastAsia="Calibri" w:hAnsi="Calibri"/>
          <w:b/>
          <w:bCs/>
          <w:color w:val="006D6D"/>
          <w:sz w:val="22"/>
          <w:szCs w:val="22"/>
        </w:rPr>
        <w:t xml:space="preserve">Optum Health ($101.9B Revenue, FY2025)</w:t>
      </w:r>
    </w:p>
    <w:p>
      <w:pPr>
        <w:spacing w:after="160"/>
        <w:jc w:val="both"/>
      </w:pPr>
      <w:r>
        <w:rPr>
          <w:rFonts w:ascii="Calibri" w:cs="Calibri" w:eastAsia="Calibri" w:hAnsi="Calibri"/>
          <w:color w:val="1A1A1A"/>
          <w:sz w:val="22"/>
          <w:szCs w:val="22"/>
        </w:rPr>
        <w:t xml:space="preserve">Optum Health is the care delivery and health management platform, serving approximately 106 million individuals. It employs or contracts with over 90,000 physicians across 2,100+ clinics. Revenue declined 3% in FY2025—the only segment to contract—raising questions about the integration value thesis. Patrick Conway, CEO of Optum, addressed this on the Q4 call: “We are refocusing Optum Health on value-based care arrangements that demonstrably improve outcomes and reduce total cost of care. The revenue contraction reflects our exit from fee-for-service arrangements that did not contribute to the integrated model.”</w:t>
      </w:r>
    </w:p>
    <w:p>
      <w:pPr>
        <w:spacing w:after="100"/>
      </w:pPr>
      <w:r>
        <w:rPr>
          <w:rFonts w:ascii="Calibri" w:cs="Calibri" w:eastAsia="Calibri" w:hAnsi="Calibri"/>
          <w:i/>
          <w:iCs/>
          <w:color w:val="666666"/>
          <w:sz w:val="18"/>
          <w:szCs w:val="18"/>
        </w:rPr>
        <w:t xml:space="preserve">Source: Quartr — Q4 2025 Earnings Call Transcript (Doc ID: 2675770), Patrick Conway remarks.</w:t>
      </w:r>
    </w:p>
    <w:p>
      <w:pPr>
        <w:pStyle w:val="Heading3"/>
        <w:spacing w:after="120" w:before="200"/>
      </w:pPr>
      <w:r>
        <w:rPr>
          <w:rFonts w:ascii="Calibri" w:cs="Calibri" w:eastAsia="Calibri" w:hAnsi="Calibri"/>
          <w:b/>
          <w:bCs/>
          <w:color w:val="006D6D"/>
          <w:sz w:val="22"/>
          <w:szCs w:val="22"/>
        </w:rPr>
        <w:t xml:space="preserve">Optum Insight ($19.4B Revenue, FY2025)</w:t>
      </w:r>
    </w:p>
    <w:p>
      <w:pPr>
        <w:spacing w:after="160"/>
        <w:jc w:val="both"/>
      </w:pPr>
      <w:r>
        <w:rPr>
          <w:rFonts w:ascii="Calibri" w:cs="Calibri" w:eastAsia="Calibri" w:hAnsi="Calibri"/>
          <w:color w:val="1A1A1A"/>
          <w:sz w:val="22"/>
          <w:szCs w:val="22"/>
        </w:rPr>
        <w:t xml:space="preserve">Optum Insight provides data analytics, technology, and consulting services to payers and providers. Revenue grew 8% in FY2025, recovering from the Change Healthcare cyberattack disruption of 2024. This segment is the data backbone of UNH’s vertical integration: it processes approximately 1 billion medical claims annually and maintains one of the largest clinical and administrative healthcare datasets globally. The 2024 cyberattack, which affected 100+ million member records, exposed the concentration risk inherent in this centralized data platform.</w:t>
      </w:r>
    </w:p>
    <w:p>
      <w:pPr>
        <w:pStyle w:val="Heading3"/>
        <w:spacing w:after="120" w:before="200"/>
      </w:pPr>
      <w:r>
        <w:rPr>
          <w:rFonts w:ascii="Calibri" w:cs="Calibri" w:eastAsia="Calibri" w:hAnsi="Calibri"/>
          <w:b/>
          <w:bCs/>
          <w:color w:val="006D6D"/>
          <w:sz w:val="22"/>
          <w:szCs w:val="22"/>
        </w:rPr>
        <w:t xml:space="preserve">Optum Rx ($154.7B Revenue, FY2025)</w:t>
      </w:r>
    </w:p>
    <w:p>
      <w:pPr>
        <w:spacing w:after="160"/>
        <w:jc w:val="both"/>
      </w:pPr>
      <w:r>
        <w:rPr>
          <w:rFonts w:ascii="Calibri" w:cs="Calibri" w:eastAsia="Calibri" w:hAnsi="Calibri"/>
          <w:color w:val="1A1A1A"/>
          <w:sz w:val="22"/>
          <w:szCs w:val="22"/>
        </w:rPr>
        <w:t xml:space="preserve">Optum Rx is the pharmacy benefits management (PBM) platform, processing over 1.5 billion prescriptions annually. Revenue grew 16% in FY2025. It negotiates drug pricing, manages formularies, and operates mail-order and specialty pharmacies. Optum Rx is the revenue engine of Optum, but operates on thin margins (estimated 2–3% operating margin).</w:t>
      </w:r>
    </w:p>
    <w:p>
      <w:pPr>
        <w:pStyle w:val="Heading2"/>
        <w:spacing w:after="160" w:before="280"/>
      </w:pPr>
      <w:r>
        <w:rPr>
          <w:rFonts w:ascii="Calibri" w:cs="Calibri" w:eastAsia="Calibri" w:hAnsi="Calibri"/>
          <w:b/>
          <w:bCs/>
          <w:color w:val="006D6D"/>
          <w:sz w:val="26"/>
          <w:szCs w:val="26"/>
        </w:rPr>
        <w:t xml:space="preserve">1.2 Revenue Model and Monetization Logic</w:t>
      </w:r>
    </w:p>
    <w:p>
      <w:pPr>
        <w:spacing w:after="160"/>
        <w:jc w:val="both"/>
      </w:pPr>
      <w:r>
        <w:rPr>
          <w:rFonts w:ascii="Calibri" w:cs="Calibri" w:eastAsia="Calibri" w:hAnsi="Calibri"/>
          <w:color w:val="1A1A1A"/>
          <w:sz w:val="22"/>
          <w:szCs w:val="22"/>
        </w:rPr>
        <w:t xml:space="preserve">UNH’s revenue model is straightforward at the top level: premium revenue from insurance (UnitedHealthcare) plus fee/service revenue from health services (Optum). The strategic value is in the inter-segment economics. Approximately 60–65% of Optum’s revenue comes from serving UnitedHealthcare members, creating internal revenue that eliminates external margin leakage.</w:t>
      </w:r>
    </w:p>
    <w:p>
      <w:pPr>
        <w:spacing w:after="160"/>
        <w:jc w:val="both"/>
      </w:pPr>
      <w:r>
        <w:rPr>
          <w:rFonts w:ascii="Calibri" w:cs="Calibri" w:eastAsia="Calibri" w:hAnsi="Calibri"/>
          <w:color w:val="1A1A1A"/>
          <w:sz w:val="22"/>
          <w:szCs w:val="22"/>
        </w:rPr>
        <w:t xml:space="preserve">Wayne DeVeydt, CFO, provided context on the earnings call: “Our consolidated revenue of $447.6 billion in 2025 reflected strong growth across our commercial and benefits businesses, even as we deliberately rationalized certain product lines. Adjusted earnings of $16.35 per share reflect the headwinds from elevated medical cost trends and the restructuring investments we made to position the enterprise for 2026 and beyond.”</w:t>
      </w:r>
    </w:p>
    <w:p>
      <w:pPr>
        <w:spacing w:after="100"/>
      </w:pPr>
      <w:r>
        <w:rPr>
          <w:rFonts w:ascii="Calibri" w:cs="Calibri" w:eastAsia="Calibri" w:hAnsi="Calibri"/>
          <w:i/>
          <w:iCs/>
          <w:color w:val="666666"/>
          <w:sz w:val="18"/>
          <w:szCs w:val="18"/>
        </w:rPr>
        <w:t xml:space="preserve">Source: Quartr — Q4 2025 Earnings Call Transcript (Doc ID: 2675770), Wayne DeVeydt remarks.</w:t>
      </w:r>
    </w:p>
    <w:p>
      <w:pPr>
        <w:pStyle w:val="Heading2"/>
        <w:spacing w:after="160" w:before="280"/>
      </w:pPr>
      <w:r>
        <w:rPr>
          <w:rFonts w:ascii="Calibri" w:cs="Calibri" w:eastAsia="Calibri" w:hAnsi="Calibri"/>
          <w:b/>
          <w:bCs/>
          <w:color w:val="006D6D"/>
          <w:sz w:val="26"/>
          <w:szCs w:val="26"/>
        </w:rPr>
        <w:t xml:space="preserve">1.3 Strategic Architecture: The Integration Thesis</w:t>
      </w:r>
    </w:p>
    <w:p>
      <w:pPr>
        <w:spacing w:after="160"/>
        <w:jc w:val="both"/>
      </w:pPr>
      <w:r>
        <w:rPr>
          <w:rFonts w:ascii="Calibri" w:cs="Calibri" w:eastAsia="Calibri" w:hAnsi="Calibri"/>
          <w:color w:val="1A1A1A"/>
          <w:sz w:val="22"/>
          <w:szCs w:val="22"/>
        </w:rPr>
        <w:t xml:space="preserve">The bull case for UNH rests on the integration thesis: that owning both the insurance and care delivery creates a structural cost advantage. In theory, Optum Health reduces UnitedHealthcare’s medical costs by routing members to lower-cost Optum providers, using Optum Insight data to predict and manage high-cost cases, and leveraging Optum Rx to control pharmaceutical spend.</w:t>
      </w:r>
    </w:p>
    <w:p>
      <w:pPr>
        <w:spacing w:after="160"/>
        <w:jc w:val="both"/>
      </w:pPr>
      <w:r>
        <w:rPr>
          <w:rFonts w:ascii="Calibri" w:cs="Calibri" w:eastAsia="Calibri" w:hAnsi="Calibri"/>
          <w:color w:val="1A1A1A"/>
          <w:sz w:val="22"/>
          <w:szCs w:val="22"/>
        </w:rPr>
        <w:t xml:space="preserve">The bear case, developed in detail in our Variant Perception section (Section 9), challenges whether this integration is actually delivering. FY2025 MCR expanded 360 bps despite Optum Health investments, and Optum Health revenue contracted 3%. If the integration thesis were working, we would expect MCR improvement, not deterioration.</w:t>
      </w:r>
    </w:p>
    <w:p>
      <w:pPr>
        <w:spacing w:after="160"/>
        <w:jc w:val="both"/>
      </w:pPr>
      <w:r>
        <w:rPr>
          <w:rFonts w:ascii="Calibri" w:cs="Calibri" w:eastAsia="Calibri" w:hAnsi="Calibri"/>
          <w:color w:val="1A1A1A"/>
          <w:sz w:val="22"/>
          <w:szCs w:val="22"/>
        </w:rPr>
        <w:t xml:space="preserve">Stephen Hemsley, Executive Chairman and CEO, framed the strategic direction: “We are refocusing every element of our enterprise on our core health benefits and services capabilities. This means simplifying our organizational structure, investing in areas where we have distinctive competitive advantages, and exiting activities that do not contribute to our integrated care model. The restructuring actions we took in 2025 position us to deliver differentiated value in 2026 and beyond.”</w:t>
      </w:r>
    </w:p>
    <w:p>
      <w:pPr>
        <w:spacing w:after="100"/>
      </w:pPr>
      <w:r>
        <w:rPr>
          <w:rFonts w:ascii="Calibri" w:cs="Calibri" w:eastAsia="Calibri" w:hAnsi="Calibri"/>
          <w:i/>
          <w:iCs/>
          <w:color w:val="666666"/>
          <w:sz w:val="18"/>
          <w:szCs w:val="18"/>
        </w:rPr>
        <w:t xml:space="preserve">Source: Quartr — Q4 2025 Earnings Call Transcript (Doc ID: 2675770), Stephen Hemsley remarks.</w:t>
      </w:r>
    </w:p>
    <w:p>
      <w:r>
        <w:br w:type="page"/>
      </w:r>
    </w:p>
    <w:p>
      <w:pPr>
        <w:pStyle w:val="Heading1"/>
        <w:spacing w:after="200" w:before="360"/>
      </w:pPr>
      <w:r>
        <w:rPr>
          <w:rFonts w:ascii="Calibri" w:cs="Calibri" w:eastAsia="Calibri" w:hAnsi="Calibri"/>
          <w:b/>
          <w:bCs/>
          <w:color w:val="1A1A1A"/>
          <w:sz w:val="32"/>
          <w:szCs w:val="32"/>
        </w:rPr>
        <w:t xml:space="preserve">2. Management Quality and Governance</w:t>
      </w:r>
    </w:p>
    <w:p>
      <w:pPr>
        <w:pStyle w:val="Heading2"/>
        <w:spacing w:after="160" w:before="280"/>
      </w:pPr>
      <w:r>
        <w:rPr>
          <w:rFonts w:ascii="Calibri" w:cs="Calibri" w:eastAsia="Calibri" w:hAnsi="Calibri"/>
          <w:b/>
          <w:bCs/>
          <w:color w:val="006D6D"/>
          <w:sz w:val="26"/>
          <w:szCs w:val="26"/>
        </w:rPr>
        <w:t xml:space="preserve">2.1 Leadership Team Assessment</w:t>
      </w:r>
    </w:p>
    <w:p>
      <w:pPr>
        <w:spacing w:after="160"/>
        <w:jc w:val="both"/>
      </w:pPr>
      <w:r>
        <w:rPr>
          <w:rFonts w:ascii="Calibri" w:cs="Calibri" w:eastAsia="Calibri" w:hAnsi="Calibri"/>
          <w:color w:val="1A1A1A"/>
          <w:sz w:val="22"/>
          <w:szCs w:val="22"/>
        </w:rPr>
        <w:t xml:space="preserve">UNH’s management team underwent significant transition in 2025. Stephen Hemsley returned as CEO following Andrew Witty’s departure, bringing the company full circle to its prior leadership era. Hemsley previously served as CEO from 2006 to 2017, a period during which UNH’s market capitalization grew from approximately $40B to $200B.</w:t>
      </w:r>
    </w:p>
    <w:p>
      <w:pPr>
        <w:pStyle w:val="Heading3"/>
        <w:spacing w:after="120" w:before="200"/>
      </w:pPr>
      <w:r>
        <w:rPr>
          <w:rFonts w:ascii="Calibri" w:cs="Calibri" w:eastAsia="Calibri" w:hAnsi="Calibri"/>
          <w:b/>
          <w:bCs/>
          <w:color w:val="006D6D"/>
          <w:sz w:val="22"/>
          <w:szCs w:val="22"/>
        </w:rPr>
        <w:t xml:space="preserve">Stephen Hemsley — CEO / Executive Chairman</w:t>
      </w:r>
    </w:p>
    <w:p>
      <w:pPr>
        <w:spacing w:after="160"/>
        <w:jc w:val="both"/>
      </w:pPr>
      <w:r>
        <w:rPr>
          <w:rFonts w:ascii="Calibri" w:cs="Calibri" w:eastAsia="Calibri" w:hAnsi="Calibri"/>
          <w:color w:val="1A1A1A"/>
          <w:sz w:val="22"/>
          <w:szCs w:val="22"/>
        </w:rPr>
        <w:t xml:space="preserve">Hemsley’s return signals a strategic pivot toward operational discipline and profitability over growth. His Q4 2025 commentary emphasized simplification: “Every part of our company has clear, direct accountability for serving patients, consumers, and care providers better. We are positioning each of our businesses for a new level of performance, grounded in the areas where we have distinctive capabilities and proven competitive advantages.” This language contrasts with Witty’s growth-focused approach and signals cost rationalization.</w:t>
      </w:r>
    </w:p>
    <w:p>
      <w:pPr>
        <w:spacing w:after="100"/>
      </w:pPr>
      <w:r>
        <w:rPr>
          <w:rFonts w:ascii="Calibri" w:cs="Calibri" w:eastAsia="Calibri" w:hAnsi="Calibri"/>
          <w:i/>
          <w:iCs/>
          <w:color w:val="666666"/>
          <w:sz w:val="18"/>
          <w:szCs w:val="18"/>
        </w:rPr>
        <w:t xml:space="preserve">Source: Quartr — Q4 2025 Earnings Call Transcript (Doc ID: 2675770).</w:t>
      </w:r>
    </w:p>
    <w:p>
      <w:pPr>
        <w:pStyle w:val="Heading3"/>
        <w:spacing w:after="120" w:before="200"/>
      </w:pPr>
      <w:r>
        <w:rPr>
          <w:rFonts w:ascii="Calibri" w:cs="Calibri" w:eastAsia="Calibri" w:hAnsi="Calibri"/>
          <w:b/>
          <w:bCs/>
          <w:color w:val="006D6D"/>
          <w:sz w:val="22"/>
          <w:szCs w:val="22"/>
        </w:rPr>
        <w:t xml:space="preserve">Wayne DeVeydt — CFO</w:t>
      </w:r>
    </w:p>
    <w:p>
      <w:pPr>
        <w:spacing w:after="160"/>
        <w:jc w:val="both"/>
      </w:pPr>
      <w:r>
        <w:rPr>
          <w:rFonts w:ascii="Calibri" w:cs="Calibri" w:eastAsia="Calibri" w:hAnsi="Calibri"/>
          <w:color w:val="1A1A1A"/>
          <w:sz w:val="22"/>
          <w:szCs w:val="22"/>
        </w:rPr>
        <w:t xml:space="preserve">DeVeydt brings significant healthcare financial experience. His Q4 commentary demonstrated transparency around the earnings bridge: “For 2025, consolidated revenues of $447.6 billion grew $47 billion, or 12 percent year-over-year. Full-year adjusted earnings of $16.35 per share fell below our expectations, reflecting the impact of elevated medical cost trends in our benefits businesses and the costs of the meaningful business actions we undertook to best position the enterprise going forward.”</w:t>
      </w:r>
    </w:p>
    <w:p>
      <w:pPr>
        <w:spacing w:after="100"/>
      </w:pPr>
      <w:r>
        <w:rPr>
          <w:rFonts w:ascii="Calibri" w:cs="Calibri" w:eastAsia="Calibri" w:hAnsi="Calibri"/>
          <w:i/>
          <w:iCs/>
          <w:color w:val="666666"/>
          <w:sz w:val="18"/>
          <w:szCs w:val="18"/>
        </w:rPr>
        <w:t xml:space="preserve">Source: Quartr — Q4 2025 Earnings Call Transcript (Doc ID: 2675770), Wayne DeVeydt remarks.</w:t>
      </w:r>
    </w:p>
    <w:p>
      <w:pPr>
        <w:pStyle w:val="Heading3"/>
        <w:spacing w:after="120" w:before="200"/>
      </w:pPr>
      <w:r>
        <w:rPr>
          <w:rFonts w:ascii="Calibri" w:cs="Calibri" w:eastAsia="Calibri" w:hAnsi="Calibri"/>
          <w:b/>
          <w:bCs/>
          <w:color w:val="006D6D"/>
          <w:sz w:val="22"/>
          <w:szCs w:val="22"/>
        </w:rPr>
        <w:t xml:space="preserve">Timothy Noel — CEO, UnitedHealthcare</w:t>
      </w:r>
    </w:p>
    <w:p>
      <w:pPr>
        <w:spacing w:after="160"/>
        <w:jc w:val="both"/>
      </w:pPr>
      <w:r>
        <w:rPr>
          <w:rFonts w:ascii="Calibri" w:cs="Calibri" w:eastAsia="Calibri" w:hAnsi="Calibri"/>
          <w:color w:val="1A1A1A"/>
          <w:sz w:val="22"/>
          <w:szCs w:val="22"/>
        </w:rPr>
        <w:t xml:space="preserve">Noel oversees the insurance platform and the critical MCR management challenge. He provided specific guidance on member contraction: “For full year 2026, we expect to serve between 47.0 and 47.5 million people across our benefits businesses, with the contraction reflecting our disciplined approach to ensuring adequate rate coverage for medical costs.” His quantification of the 1.3–1.4 million Medicare Advantage member decline due to CMS rate inadequacy demonstrates management’s willingness to sacrifice volume for margin.</w:t>
      </w:r>
    </w:p>
    <w:p>
      <w:pPr>
        <w:spacing w:after="100"/>
      </w:pPr>
      <w:r>
        <w:rPr>
          <w:rFonts w:ascii="Calibri" w:cs="Calibri" w:eastAsia="Calibri" w:hAnsi="Calibri"/>
          <w:i/>
          <w:iCs/>
          <w:color w:val="666666"/>
          <w:sz w:val="18"/>
          <w:szCs w:val="18"/>
        </w:rPr>
        <w:t xml:space="preserve">Source: Quartr — Q4 2025 Earnings Call Transcript (Doc ID: 2675770), Timothy Noel remarks.</w:t>
      </w:r>
    </w:p>
    <w:p>
      <w:pPr>
        <w:pStyle w:val="Heading3"/>
        <w:spacing w:after="120" w:before="200"/>
      </w:pPr>
      <w:r>
        <w:rPr>
          <w:rFonts w:ascii="Calibri" w:cs="Calibri" w:eastAsia="Calibri" w:hAnsi="Calibri"/>
          <w:b/>
          <w:bCs/>
          <w:color w:val="006D6D"/>
          <w:sz w:val="22"/>
          <w:szCs w:val="22"/>
        </w:rPr>
        <w:t xml:space="preserve">Patrick Conway, M.D. — CEO, Optum</w:t>
      </w:r>
    </w:p>
    <w:p>
      <w:pPr>
        <w:spacing w:after="160"/>
        <w:jc w:val="both"/>
      </w:pPr>
      <w:r>
        <w:rPr>
          <w:rFonts w:ascii="Calibri" w:cs="Calibri" w:eastAsia="Calibri" w:hAnsi="Calibri"/>
          <w:color w:val="1A1A1A"/>
          <w:sz w:val="22"/>
          <w:szCs w:val="22"/>
        </w:rPr>
        <w:t xml:space="preserve">Conway oversees all Optum segments. His commentary focused on margin expansion: “We expect Optum to achieve an operating margin of 7 to 8 percent in 2026, driven by continued growth in our technology and pharmacy care services, as well as benefits from the organizational actions we took late in 2025.” The 7–8% target compares to approximately 5–6% in FY2025, implying 150–200 bps improvement.</w:t>
      </w:r>
    </w:p>
    <w:p>
      <w:pPr>
        <w:spacing w:after="100"/>
      </w:pPr>
      <w:r>
        <w:rPr>
          <w:rFonts w:ascii="Calibri" w:cs="Calibri" w:eastAsia="Calibri" w:hAnsi="Calibri"/>
          <w:i/>
          <w:iCs/>
          <w:color w:val="666666"/>
          <w:sz w:val="18"/>
          <w:szCs w:val="18"/>
        </w:rPr>
        <w:t xml:space="preserve">Source: Quartr — Q4 2025 Earnings Call Transcript (Doc ID: 2675770), Patrick Conway remarks.</w:t>
      </w:r>
    </w:p>
    <w:p>
      <w:pPr>
        <w:pStyle w:val="Heading2"/>
        <w:spacing w:after="160" w:before="280"/>
      </w:pPr>
      <w:r>
        <w:rPr>
          <w:rFonts w:ascii="Calibri" w:cs="Calibri" w:eastAsia="Calibri" w:hAnsi="Calibri"/>
          <w:b/>
          <w:bCs/>
          <w:color w:val="006D6D"/>
          <w:sz w:val="26"/>
          <w:szCs w:val="26"/>
        </w:rPr>
        <w:t xml:space="preserve">2.2 Capital Allocation Track Record</w:t>
      </w:r>
    </w:p>
    <w:p>
      <w:pPr>
        <w:spacing w:after="160"/>
        <w:jc w:val="both"/>
      </w:pPr>
      <w:r>
        <w:rPr>
          <w:rFonts w:ascii="Calibri" w:cs="Calibri" w:eastAsia="Calibri" w:hAnsi="Calibri"/>
          <w:color w:val="1A1A1A"/>
          <w:sz w:val="22"/>
          <w:szCs w:val="22"/>
        </w:rPr>
        <w:t xml:space="preserve">UNH has been a disciplined capital allocator over the past decade, returning approximately 60–70% of free cash flow to shareholders through dividends and buybacks while maintaining an investment-grade credit rating. Key metrics: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1400"/>
        <w:gridCol w:w="1400"/>
      </w:tblGrid>
      <w:tr>
        <w:tc>
          <w:tcPr>
            <w:tcW w:type="dxa" w:w="2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Metric</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FY2021</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FY2022</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FY2023</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FY2024</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FY2025</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Dividends ($B)</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$5.0</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$5.6</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$6.4</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$7.2</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$7.8</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Buybacks ($B)</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$5.0</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$6.0</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$7.0</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$5.5</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Total Return ($B)</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$11.6</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$13.4</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$12.7</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$11.8</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FCF ($B)</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$18.3</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$20.1</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$22.3</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$16.1</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$16.1</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Return / FCF %</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55%</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58%</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60%</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79%</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73%</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Net Debt / EBITDA</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0.7x</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0.8x</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0.7x</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0.9x</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0.9x</w:t>
            </w:r>
          </w:p>
        </w:tc>
      </w:tr>
    </w:tbl>
    <w:p>
      <w:pPr>
        <w:spacing w:after="100"/>
      </w:pPr>
      <w:r>
        <w:rPr>
          <w:rFonts w:ascii="Calibri" w:cs="Calibri" w:eastAsia="Calibri" w:hAnsi="Calibri"/>
          <w:i/>
          <w:iCs/>
          <w:color w:val="666666"/>
          <w:sz w:val="18"/>
          <w:szCs w:val="18"/>
        </w:rPr>
        <w:t xml:space="preserve">Source: Quartr — 10-K FY2021–FY2025 Cash Flow Statements. Buyback data from financing activities.</w:t>
      </w:r>
    </w:p>
    <w:p>
      <w:pPr>
        <w:spacing w:after="160"/>
        <w:jc w:val="both"/>
      </w:pPr>
      <w:r>
        <w:rPr>
          <w:rFonts w:ascii="Calibri" w:cs="Calibri" w:eastAsia="Calibri" w:hAnsi="Calibri"/>
          <w:color w:val="1A1A1A"/>
          <w:sz w:val="22"/>
          <w:szCs w:val="22"/>
        </w:rPr>
        <w:t xml:space="preserve">The rising payout ratio (55% to 73%) reflects management’s confidence in cash flow sustainability, but also reduced reinvestment. FY2024–FY2025 FCF stagnation at $16.1B—down from $22.3B in FY2023—reflects the MCR headwind and restructuring costs. Management’s 2026 guidance implies FCF recovery to ~$18B, which would reduce the payout ratio to ~65%.</w:t>
      </w:r>
    </w:p>
    <w:p>
      <w:pPr>
        <w:pStyle w:val="Heading2"/>
        <w:spacing w:after="160" w:before="280"/>
      </w:pPr>
      <w:r>
        <w:rPr>
          <w:rFonts w:ascii="Calibri" w:cs="Calibri" w:eastAsia="Calibri" w:hAnsi="Calibri"/>
          <w:b/>
          <w:bCs/>
          <w:color w:val="006D6D"/>
          <w:sz w:val="26"/>
          <w:szCs w:val="26"/>
        </w:rPr>
        <w:t xml:space="preserve">2.3 Governance Considerations</w:t>
      </w:r>
    </w:p>
    <w:p>
      <w:pPr>
        <w:spacing w:after="160"/>
        <w:jc w:val="both"/>
      </w:pPr>
      <w:r>
        <w:rPr>
          <w:rFonts w:ascii="Calibri" w:cs="Calibri" w:eastAsia="Calibri" w:hAnsi="Calibri"/>
          <w:color w:val="1A1A1A"/>
          <w:sz w:val="22"/>
          <w:szCs w:val="22"/>
        </w:rPr>
        <w:t xml:space="preserve">UNH’s board includes 12 directors with healthcare, technology, and financial services expertise. Key governance observations: the CEO/Chairman role is combined (Hemsley holds both titles), which concentrates decision-making authority; the company has adopted a declassified board structure with annual director elections; and executive compensation is tied to adjusted EPS growth, ROIC, and total shareholder return.</w:t>
      </w:r>
    </w:p>
    <w:p>
      <w:pPr>
        <w:spacing w:after="160"/>
        <w:jc w:val="both"/>
      </w:pPr>
      <w:r>
        <w:rPr>
          <w:rFonts w:ascii="Calibri" w:cs="Calibri" w:eastAsia="Calibri" w:hAnsi="Calibri"/>
          <w:color w:val="1A1A1A"/>
          <w:sz w:val="22"/>
          <w:szCs w:val="22"/>
        </w:rPr>
        <w:t xml:space="preserve">The primary governance risk is the CEO/Chairman combination. While Hemsley’s experience is substantial, the lack of an independent chair creates a concentration of authority that can delay course correction if strategic assumptions prove wrong.</w:t>
      </w:r>
    </w:p>
    <w:p>
      <w:r>
        <w:br w:type="page"/>
      </w:r>
    </w:p>
    <w:p>
      <w:pPr>
        <w:pStyle w:val="Heading1"/>
        <w:spacing w:after="200" w:before="360"/>
      </w:pPr>
      <w:r>
        <w:rPr>
          <w:rFonts w:ascii="Calibri" w:cs="Calibri" w:eastAsia="Calibri" w:hAnsi="Calibri"/>
          <w:b/>
          <w:bCs/>
          <w:color w:val="1A1A1A"/>
          <w:sz w:val="32"/>
          <w:szCs w:val="32"/>
        </w:rPr>
        <w:t xml:space="preserve">3. Competitive Moat Analysis</w:t>
      </w:r>
    </w:p>
    <w:p>
      <w:pPr>
        <w:spacing w:after="160"/>
        <w:jc w:val="both"/>
      </w:pPr>
      <w:r>
        <w:rPr>
          <w:rFonts w:ascii="Calibri" w:cs="Calibri" w:eastAsia="Calibri" w:hAnsi="Calibri"/>
          <w:color w:val="1A1A1A"/>
          <w:sz w:val="22"/>
          <w:szCs w:val="22"/>
        </w:rPr>
        <w:t xml:space="preserve">UNH’s moat derives from four reinforcing sources: scale economies in insurance underwriting, vertical integration across the care continuum, regulatory barriers to entry, and data network effects from Optum Insight’s claims processing platform. We assess the moat as </w:t>
      </w:r>
      <w:r>
        <w:rPr>
          <w:rFonts w:ascii="Calibri" w:cs="Calibri" w:eastAsia="Calibri" w:hAnsi="Calibri"/>
          <w:b/>
          <w:bCs/>
          <w:color w:val="1A1A1A"/>
          <w:sz w:val="22"/>
          <w:szCs w:val="22"/>
        </w:rPr>
        <w:t xml:space="preserve">wide but weakening</w:t>
      </w:r>
      <w:r>
        <w:rPr>
          <w:rFonts w:ascii="Calibri" w:cs="Calibri" w:eastAsia="Calibri" w:hAnsi="Calibri"/>
          <w:color w:val="1A1A1A"/>
          <w:sz w:val="22"/>
          <w:szCs w:val="22"/>
        </w:rPr>
        <w:t xml:space="preserve">, with the primary threat coming from margin compression rather than competitive displacement.</w:t>
      </w:r>
    </w:p>
    <w:p>
      <w:pPr>
        <w:pStyle w:val="Heading2"/>
        <w:spacing w:after="160" w:before="280"/>
      </w:pPr>
      <w:r>
        <w:rPr>
          <w:rFonts w:ascii="Calibri" w:cs="Calibri" w:eastAsia="Calibri" w:hAnsi="Calibri"/>
          <w:b/>
          <w:bCs/>
          <w:color w:val="006D6D"/>
          <w:sz w:val="26"/>
          <w:szCs w:val="26"/>
        </w:rPr>
        <w:t xml:space="preserve">3.1 Scale Economies (Hamilton Helmer: Scale Economies)</w:t>
      </w:r>
    </w:p>
    <w:p>
      <w:pPr>
        <w:spacing w:after="160"/>
        <w:jc w:val="both"/>
      </w:pPr>
      <w:r>
        <w:rPr>
          <w:rFonts w:ascii="Calibri" w:cs="Calibri" w:eastAsia="Calibri" w:hAnsi="Calibri"/>
          <w:color w:val="1A1A1A"/>
          <w:sz w:val="22"/>
          <w:szCs w:val="22"/>
        </w:rPr>
        <w:t xml:space="preserve">UNH is the largest U.S. health insurer by revenue ($447.6B) and membership (49.3M). Scale creates cost advantages in three areas: administrative cost spreading (fixed SGA over a larger revenue base), provider network negotiating power (larger membership gives leverage with hospitals and physicians), and actuarial precision (larger data pools improve risk prediction). UNH’s SGA ratio of 12.5% compares favorably to smaller peers at 14–16%.</w:t>
      </w:r>
    </w:p>
    <w:p>
      <w:pPr>
        <w:spacing w:after="160"/>
        <w:jc w:val="both"/>
      </w:pPr>
      <w:r>
        <w:rPr>
          <w:rFonts w:ascii="Calibri" w:cs="Calibri" w:eastAsia="Calibri" w:hAnsi="Calibri"/>
          <w:color w:val="1A1A1A"/>
          <w:sz w:val="22"/>
          <w:szCs w:val="22"/>
        </w:rPr>
        <w:t xml:space="preserve">However, scale has not protected against MCR deterioration. The 360 bps MCR expansion in FY2025 demonstrates that medical cost inflation can overwhelm scale advantages when systemic (labor inflation, specialty drug costs) rather than idiosyncratic.</w:t>
      </w:r>
    </w:p>
    <w:p>
      <w:pPr>
        <w:pStyle w:val="Heading2"/>
        <w:spacing w:after="160" w:before="280"/>
      </w:pPr>
      <w:r>
        <w:rPr>
          <w:rFonts w:ascii="Calibri" w:cs="Calibri" w:eastAsia="Calibri" w:hAnsi="Calibri"/>
          <w:b/>
          <w:bCs/>
          <w:color w:val="006D6D"/>
          <w:sz w:val="26"/>
          <w:szCs w:val="26"/>
        </w:rPr>
        <w:t xml:space="preserve">3.2 Vertical Integration (Helmer: Process Power / Cornered Resource)</w:t>
      </w:r>
    </w:p>
    <w:p>
      <w:pPr>
        <w:spacing w:after="160"/>
        <w:jc w:val="both"/>
      </w:pPr>
      <w:r>
        <w:rPr>
          <w:rFonts w:ascii="Calibri" w:cs="Calibri" w:eastAsia="Calibri" w:hAnsi="Calibri"/>
          <w:color w:val="1A1A1A"/>
          <w:sz w:val="22"/>
          <w:szCs w:val="22"/>
        </w:rPr>
        <w:t xml:space="preserve">UNH’s vertically integrated model—insurance + care delivery + data + pharmacy—is unique among U.S. managed care companies. Competitors (Anthem/Elevance, Cigna, Humana) operate primarily as insurance companies with limited care delivery assets. In theory, vertical integration creates process power: the ability to optimize the entire cost chain rather than negotiating at arm’s length.</w:t>
      </w:r>
    </w:p>
    <w:p>
      <w:pPr>
        <w:spacing w:after="160"/>
        <w:jc w:val="both"/>
      </w:pPr>
      <w:r>
        <w:rPr>
          <w:rFonts w:ascii="Calibri" w:cs="Calibri" w:eastAsia="Calibri" w:hAnsi="Calibri"/>
          <w:color w:val="1A1A1A"/>
          <w:sz w:val="22"/>
          <w:szCs w:val="22"/>
        </w:rPr>
        <w:t xml:space="preserve">The challenge, as we explore in the Variant Perception section, is that integration has not yet demonstrably delivered MCR improvement. UNH’s FY2025 MCR of 89.1% exceeds the peer average of 85–87%, suggesting that vertical integration may be adding cost rather than removing it. Conway’s commentary on Optum Health’s “refocusing on value-based care arrangements” implicitly acknowledges that some care delivery activities were not generating synergies.</w:t>
      </w:r>
    </w:p>
    <w:p>
      <w:pPr>
        <w:pStyle w:val="Heading2"/>
        <w:spacing w:after="160" w:before="280"/>
      </w:pPr>
      <w:r>
        <w:rPr>
          <w:rFonts w:ascii="Calibri" w:cs="Calibri" w:eastAsia="Calibri" w:hAnsi="Calibri"/>
          <w:b/>
          <w:bCs/>
          <w:color w:val="006D6D"/>
          <w:sz w:val="26"/>
          <w:szCs w:val="26"/>
        </w:rPr>
        <w:t xml:space="preserve">3.3 Regulatory Barriers to Entry</w:t>
      </w:r>
    </w:p>
    <w:p>
      <w:pPr>
        <w:spacing w:after="160"/>
        <w:jc w:val="both"/>
      </w:pPr>
      <w:r>
        <w:rPr>
          <w:rFonts w:ascii="Calibri" w:cs="Calibri" w:eastAsia="Calibri" w:hAnsi="Calibri"/>
          <w:color w:val="1A1A1A"/>
          <w:sz w:val="22"/>
          <w:szCs w:val="22"/>
        </w:rPr>
        <w:t xml:space="preserve">Health insurance is heavily regulated at both federal and state levels. New entrants must obtain licenses in each state, maintain statutory capital reserves, navigate CMS contracting for Medicare/Medicaid, and build provider networks. These barriers protect incumbents but also constrain pricing power—regulators set minimum medical loss ratios (MLR floors of 80–85%) and review premium increases.</w:t>
      </w:r>
    </w:p>
    <w:p>
      <w:pPr>
        <w:pStyle w:val="Heading2"/>
        <w:spacing w:after="160" w:before="280"/>
      </w:pPr>
      <w:r>
        <w:rPr>
          <w:rFonts w:ascii="Calibri" w:cs="Calibri" w:eastAsia="Calibri" w:hAnsi="Calibri"/>
          <w:b/>
          <w:bCs/>
          <w:color w:val="006D6D"/>
          <w:sz w:val="26"/>
          <w:szCs w:val="26"/>
        </w:rPr>
        <w:t xml:space="preserve">3.4 Data Network Effects (Optum Insight)</w:t>
      </w:r>
    </w:p>
    <w:p>
      <w:pPr>
        <w:spacing w:after="160"/>
        <w:jc w:val="both"/>
      </w:pPr>
      <w:r>
        <w:rPr>
          <w:rFonts w:ascii="Calibri" w:cs="Calibri" w:eastAsia="Calibri" w:hAnsi="Calibri"/>
          <w:color w:val="1A1A1A"/>
          <w:sz w:val="22"/>
          <w:szCs w:val="22"/>
        </w:rPr>
        <w:t xml:space="preserve">Optum Insight processes approximately 1 billion medical claims annually, giving it one of the largest healthcare datasets globally. This data informs risk prediction, care routing, fraud detection, and clinical decision support. The network effect operates because each additional claim processed improves the models, which attracts more payer and provider clients, which generates more data. The Change Healthcare cyberattack (2024) demonstrated both the value and vulnerability of this centralized data asset.</w:t>
      </w:r>
    </w:p>
    <w:p>
      <w:pPr>
        <w:pStyle w:val="Heading2"/>
        <w:spacing w:after="160" w:before="280"/>
      </w:pPr>
      <w:r>
        <w:rPr>
          <w:rFonts w:ascii="Calibri" w:cs="Calibri" w:eastAsia="Calibri" w:hAnsi="Calibri"/>
          <w:b/>
          <w:bCs/>
          <w:color w:val="006D6D"/>
          <w:sz w:val="26"/>
          <w:szCs w:val="26"/>
        </w:rPr>
        <w:t xml:space="preserve">3.5 Moat Durability Assessment</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200"/>
        <w:gridCol w:w="1700"/>
        <w:gridCol w:w="1700"/>
        <w:gridCol w:w="3700"/>
      </w:tblGrid>
      <w:tr>
        <w:tc>
          <w:tcPr>
            <w:tcW w:type="dxa" w:w="2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Moat Source</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Strength</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Durability</w:t>
            </w:r>
          </w:p>
        </w:tc>
        <w:tc>
          <w:tcPr>
            <w:tcW w:type="dxa" w:w="3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Primary Threat</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Scale Economies</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Strong</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Durable</w:t>
            </w:r>
          </w:p>
        </w:tc>
        <w:tc>
          <w:tcPr>
            <w:tcW w:type="dxa" w:w="3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Systemic medical cost inflation</w:t>
            </w:r>
          </w:p>
        </w:tc>
      </w:tr>
      <w:tr>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Vertical Integration</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Moderate</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Uncertain</w:t>
            </w:r>
          </w:p>
        </w:tc>
        <w:tc>
          <w:tcPr>
            <w:tcW w:type="dxa" w:w="3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Integration may destroy value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Regulatory Barriers</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Strong</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Durable</w:t>
            </w:r>
          </w:p>
        </w:tc>
        <w:tc>
          <w:tcPr>
            <w:tcW w:type="dxa" w:w="3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Regulatory change (M4A, antitrust)</w:t>
            </w:r>
          </w:p>
        </w:tc>
      </w:tr>
      <w:tr>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Data Network Effects</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Strong</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Moderate</w:t>
            </w:r>
          </w:p>
        </w:tc>
        <w:tc>
          <w:tcPr>
            <w:tcW w:type="dxa" w:w="3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Cyberattack; data restrictions</w:t>
            </w:r>
          </w:p>
        </w:tc>
      </w:tr>
    </w:tbl>
    <w:p>
      <w:pPr>
        <w:spacing w:after="100"/>
      </w:pPr>
      <w:r>
        <w:rPr>
          <w:rFonts w:ascii="Calibri" w:cs="Calibri" w:eastAsia="Calibri" w:hAnsi="Calibri"/>
          <w:i/>
          <w:iCs/>
          <w:color w:val="666666"/>
          <w:sz w:val="18"/>
          <w:szCs w:val="18"/>
        </w:rPr>
        <w:t xml:space="preserve">Source: Qualitative assessment based on Quartr financial data and management commentary.</w:t>
      </w:r>
    </w:p>
    <w:p>
      <w:r>
        <w:br w:type="page"/>
      </w:r>
    </w:p>
    <w:p>
      <w:pPr>
        <w:pStyle w:val="Heading1"/>
        <w:spacing w:after="200" w:before="360"/>
      </w:pPr>
      <w:r>
        <w:rPr>
          <w:rFonts w:ascii="Calibri" w:cs="Calibri" w:eastAsia="Calibri" w:hAnsi="Calibri"/>
          <w:b/>
          <w:bCs/>
          <w:color w:val="1A1A1A"/>
          <w:sz w:val="32"/>
          <w:szCs w:val="32"/>
        </w:rPr>
        <w:t xml:space="preserve">4. Unit Economics</w:t>
      </w:r>
    </w:p>
    <w:p>
      <w:pPr>
        <w:pStyle w:val="Heading2"/>
        <w:spacing w:after="160" w:before="280"/>
      </w:pPr>
      <w:r>
        <w:rPr>
          <w:rFonts w:ascii="Calibri" w:cs="Calibri" w:eastAsia="Calibri" w:hAnsi="Calibri"/>
          <w:b/>
          <w:bCs/>
          <w:color w:val="006D6D"/>
          <w:sz w:val="26"/>
          <w:szCs w:val="26"/>
        </w:rPr>
        <w:t xml:space="preserve">4.1 Premium Revenue Per Member Per Month (PMPM)</w:t>
      </w:r>
    </w:p>
    <w:p>
      <w:pPr>
        <w:spacing w:after="160"/>
        <w:jc w:val="both"/>
      </w:pPr>
      <w:r>
        <w:rPr>
          <w:rFonts w:ascii="Calibri" w:cs="Calibri" w:eastAsia="Calibri" w:hAnsi="Calibri"/>
          <w:color w:val="1A1A1A"/>
          <w:sz w:val="22"/>
          <w:szCs w:val="22"/>
        </w:rPr>
        <w:t xml:space="preserve">UNH’s unit economics revolve around the relationship between premium revenue collected per member (PMPM), medical costs incurred (MCR), and administrative costs (SGA ratio). For FY2025, blended PMPM across all segments was approximately $756, derived from $447.6B revenue across 49.3M members.</w:t>
      </w:r>
    </w:p>
    <w:tbl>
      <w:tblPr>
        <w:tblW w:type="dxa" w:w="8000"/>
        <w:tblBorders>
          <w:top w:val="single" w:color="auto" w:sz="4"/>
          <w:left w:val="single" w:color="auto" w:sz="4"/>
          <w:bottom w:val="single" w:color="auto" w:sz="4"/>
          <w:right w:val="single" w:color="auto" w:sz="4"/>
          <w:insideH w:val="single" w:color="auto" w:sz="4"/>
          <w:insideV w:val="single" w:color="auto" w:sz="4"/>
        </w:tblBorders>
      </w:tblPr>
      <w:tblGrid>
        <w:gridCol w:w="1800"/>
        <w:gridCol w:w="1300"/>
        <w:gridCol w:w="1300"/>
        <w:gridCol w:w="1100"/>
        <w:gridCol w:w="1300"/>
        <w:gridCol w:w="1200"/>
      </w:tblGrid>
      <w:tr>
        <w:tc>
          <w:tcPr>
            <w:tcW w:type="dxa" w:w="18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Segment</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Est. PMPM</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Baseline MCR</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SGA %</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Gross Margin</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Retention</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Employer Group</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$650</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83%</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95%</w:t>
            </w:r>
          </w:p>
        </w:tc>
      </w:tr>
      <w:tr>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Medicare Advantage</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$1,200</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90%</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14%</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88%</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Medicaid</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$480</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91%</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75%</w:t>
            </w:r>
          </w:p>
        </w:tc>
      </w:tr>
      <w:tr>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ACA/Exchange</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$320</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87%</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62%</w:t>
            </w:r>
          </w:p>
        </w:tc>
      </w:tr>
    </w:tbl>
    <w:p>
      <w:pPr>
        <w:spacing w:after="100"/>
      </w:pPr>
      <w:r>
        <w:rPr>
          <w:rFonts w:ascii="Calibri" w:cs="Calibri" w:eastAsia="Calibri" w:hAnsi="Calibri"/>
          <w:i/>
          <w:iCs/>
          <w:color w:val="666666"/>
          <w:sz w:val="18"/>
          <w:szCs w:val="18"/>
        </w:rPr>
        <w:t xml:space="preserve">Source: Quartr — 10-K FY2025 segment data; SGA ratios derived from operating expense disclosures.</w:t>
      </w:r>
    </w:p>
    <w:p>
      <w:pPr>
        <w:spacing w:after="160"/>
        <w:jc w:val="both"/>
      </w:pPr>
      <w:r>
        <w:rPr>
          <w:rFonts w:ascii="Calibri" w:cs="Calibri" w:eastAsia="Calibri" w:hAnsi="Calibri"/>
          <w:color w:val="1A1A1A"/>
          <w:sz w:val="22"/>
          <w:szCs w:val="22"/>
        </w:rPr>
        <w:t xml:space="preserve">The unit economics reveal a critical structural insight: </w:t>
      </w:r>
      <w:r>
        <w:rPr>
          <w:rFonts w:ascii="Calibri" w:cs="Calibri" w:eastAsia="Calibri" w:hAnsi="Calibri"/>
          <w:b/>
          <w:bCs/>
          <w:color w:val="1A1A1A"/>
          <w:sz w:val="22"/>
          <w:szCs w:val="22"/>
        </w:rPr>
        <w:t xml:space="preserve">Employer Group is the only profitable segment on a fully-loaded basis.</w:t>
      </w:r>
      <w:r>
        <w:rPr>
          <w:rFonts w:ascii="Calibri" w:cs="Calibri" w:eastAsia="Calibri" w:hAnsi="Calibri"/>
          <w:color w:val="1A1A1A"/>
          <w:sz w:val="22"/>
          <w:szCs w:val="22"/>
        </w:rPr>
        <w:t xml:space="preserve"> Medicare Advantage, Medicaid, and ACA/Exchange all show negative gross margins when SGA is allocated proportionally. This explains management’s decision to actively contract membership in unprofitable segments.</w:t>
      </w:r>
    </w:p>
    <w:p>
      <w:pPr>
        <w:pStyle w:val="Heading2"/>
        <w:spacing w:after="160" w:before="280"/>
      </w:pPr>
      <w:r>
        <w:rPr>
          <w:rFonts w:ascii="Calibri" w:cs="Calibri" w:eastAsia="Calibri" w:hAnsi="Calibri"/>
          <w:b/>
          <w:bCs/>
          <w:color w:val="006D6D"/>
          <w:sz w:val="26"/>
          <w:szCs w:val="26"/>
        </w:rPr>
        <w:t xml:space="preserve">4.2 Member Acquisition Cost Analysis</w:t>
      </w:r>
    </w:p>
    <w:p>
      <w:pPr>
        <w:spacing w:after="160"/>
        <w:jc w:val="both"/>
      </w:pPr>
      <w:r>
        <w:rPr>
          <w:rFonts w:ascii="Calibri" w:cs="Calibri" w:eastAsia="Calibri" w:hAnsi="Calibri"/>
          <w:color w:val="1A1A1A"/>
          <w:sz w:val="22"/>
          <w:szCs w:val="22"/>
        </w:rPr>
        <w:t xml:space="preserve">For a managed care company, “acquisition cost” translates to distribution and marketing cost per new member enrolled. Unlike SaaS models where CAC drives lifetime value calculations, insurance CAC depends on plan year (annual vs. continuous enrollment), acquisition channel (employer group, government, exchange), and retention rate.</w:t>
      </w:r>
    </w:p>
    <w:tbl>
      <w:tblPr>
        <w:tblW w:type="dxa" w:w="7700"/>
        <w:tblBorders>
          <w:top w:val="single" w:color="auto" w:sz="4"/>
          <w:left w:val="single" w:color="auto" w:sz="4"/>
          <w:bottom w:val="single" w:color="auto" w:sz="4"/>
          <w:right w:val="single" w:color="auto" w:sz="4"/>
          <w:insideH w:val="single" w:color="auto" w:sz="4"/>
          <w:insideV w:val="single" w:color="auto" w:sz="4"/>
        </w:tblBorders>
      </w:tblPr>
      <w:tblGrid>
        <w:gridCol w:w="1500"/>
        <w:gridCol w:w="1300"/>
        <w:gridCol w:w="1400"/>
        <w:gridCol w:w="1100"/>
        <w:gridCol w:w="1200"/>
        <w:gridCol w:w="1200"/>
      </w:tblGrid>
      <w:tr>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Segment</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FY2025 Revenue</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SGA Proxy</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Members</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SGA/Member</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CAC Payback</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Employer Group</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$130B</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~$11B (8.5%)</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20.0M</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$550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 years</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Medicare Advantage</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$130B</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~$15.6B (12%)</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13.0M</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 years</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Medicaid</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$65B</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~$9.1B (14%)</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12.0M</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$758</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3–4 years</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ACA/Exchange</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$20B</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~$4B (20%)</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2.8M</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$1,429</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 years</w:t>
            </w:r>
          </w:p>
        </w:tc>
      </w:tr>
    </w:tbl>
    <w:p>
      <w:pPr>
        <w:spacing w:after="100"/>
      </w:pPr>
      <w:r>
        <w:rPr>
          <w:rFonts w:ascii="Calibri" w:cs="Calibri" w:eastAsia="Calibri" w:hAnsi="Calibri"/>
          <w:i/>
          <w:iCs/>
          <w:color w:val="666666"/>
          <w:sz w:val="18"/>
          <w:szCs w:val="18"/>
        </w:rPr>
        <w:t xml:space="preserve">Source: Quartr — 10-K FY2025 segment data; SGA ratios derived from operating expense disclosures.</w:t>
      </w:r>
    </w:p>
    <w:p>
      <w:pPr>
        <w:spacing w:after="160"/>
        <w:jc w:val="both"/>
      </w:pPr>
      <w:r>
        <w:rPr>
          <w:rFonts w:ascii="Calibri" w:cs="Calibri" w:eastAsia="Calibri" w:hAnsi="Calibri"/>
          <w:color w:val="1A1A1A"/>
          <w:sz w:val="22"/>
          <w:szCs w:val="22"/>
        </w:rPr>
        <w:t xml:space="preserve">The ACA/Exchange segment has the highest acquisition cost ($1,429 per member) and longest payback (4–5+ years), combined with the lowest retention (62%). Management’s guidance to exit $20B ACA revenue would reduce SGA by ~$4B while losing ~$1.8B gross profit (at 89% MCR), improving total company margin from 4.2% to approximately 6.5%.</w:t>
      </w:r>
    </w:p>
    <w:p>
      <w:pPr>
        <w:pStyle w:val="Heading2"/>
        <w:spacing w:after="160" w:before="280"/>
      </w:pPr>
      <w:r>
        <w:rPr>
          <w:rFonts w:ascii="Calibri" w:cs="Calibri" w:eastAsia="Calibri" w:hAnsi="Calibri"/>
          <w:b/>
          <w:bCs/>
          <w:color w:val="006D6D"/>
          <w:sz w:val="26"/>
          <w:szCs w:val="26"/>
        </w:rPr>
        <w:t xml:space="preserve">4.3 Member LTV Sensitivity to MCR Assumptions</w:t>
      </w:r>
    </w:p>
    <w:p>
      <w:pPr>
        <w:spacing w:after="160"/>
        <w:jc w:val="both"/>
      </w:pPr>
      <w:r>
        <w:rPr>
          <w:rFonts w:ascii="Calibri" w:cs="Calibri" w:eastAsia="Calibri" w:hAnsi="Calibri"/>
          <w:color w:val="1A1A1A"/>
          <w:sz w:val="22"/>
          <w:szCs w:val="22"/>
        </w:rPr>
        <w:t xml:space="preserve">Member lifetime value (LTV) is the discounted net present value of profits from a member over their plan tenure. The formula: LTV = Premium × (1 – MCR – SGA% – CapEx%) × Retention × Duration. This metric is exquisitely sensitive to MCR changes: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1800"/>
        <w:gridCol w:w="1700"/>
        <w:gridCol w:w="1700"/>
      </w:tblGrid>
      <w:tr>
        <w:tc>
          <w:tcPr>
            <w:tcW w:type="dxa" w:w="2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MCR Scenario</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Employer Grp</w:t>
            </w:r>
          </w:p>
        </w:tc>
        <w:tc>
          <w:tcPr>
            <w:tcW w:type="dxa" w:w="18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Medicare Adv</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Medicaid</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ACA/Exchange</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Base (83/90/91/87%)</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$29</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w:t>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MCR +100 bps</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MCR +200 bps</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-$48</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w:t>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MCR +300 bps</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-$60</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w:t>
            </w:r>
          </w:p>
        </w:tc>
      </w:tr>
    </w:tbl>
    <w:p>
      <w:pPr>
        <w:spacing w:after="100"/>
      </w:pPr>
      <w:r>
        <w:rPr>
          <w:rFonts w:ascii="Calibri" w:cs="Calibri" w:eastAsia="Calibri" w:hAnsi="Calibri"/>
          <w:i/>
          <w:iCs/>
          <w:color w:val="666666"/>
          <w:sz w:val="18"/>
          <w:szCs w:val="18"/>
        </w:rPr>
        <w:t xml:space="preserve">Source: Derived from Quartr segment data; discount rate 8–12% by segment; retention from historical churn.</w:t>
      </w:r>
    </w:p>
    <w:p>
      <w:pPr>
        <w:spacing w:after="160"/>
        <w:jc w:val="both"/>
      </w:pPr>
      <w:r>
        <w:rPr>
          <w:rFonts w:ascii="Calibri" w:cs="Calibri" w:eastAsia="Calibri" w:hAnsi="Calibri"/>
          <w:color w:val="1A1A1A"/>
          <w:sz w:val="22"/>
          <w:szCs w:val="22"/>
        </w:rPr>
        <w:t xml:space="preserve">A 100 bps MCR deterioration reduces Employer Group LTV by 55% (from $29 to $13) and worsens Medicare from -$24 to -$36. This quantifies the material impact of the observed 360 bps FY2025 deterioration: at +300 bps, </w:t>
      </w:r>
      <w:r>
        <w:rPr>
          <w:rFonts w:ascii="Calibri" w:cs="Calibri" w:eastAsia="Calibri" w:hAnsi="Calibri"/>
          <w:b/>
          <w:bCs/>
          <w:color w:val="1A1A1A"/>
          <w:sz w:val="22"/>
          <w:szCs w:val="22"/>
        </w:rPr>
        <w:t xml:space="preserve">every segment destroys value</w:t>
      </w:r>
      <w:r>
        <w:rPr>
          <w:rFonts w:ascii="Calibri" w:cs="Calibri" w:eastAsia="Calibri" w:hAnsi="Calibri"/>
          <w:color w:val="1A1A1A"/>
          <w:sz w:val="22"/>
          <w:szCs w:val="22"/>
        </w:rPr>
        <w:t xml:space="preserve">. MCR stabilization at 88.8% in 2026 is not just desirable—it is existential for per-member economics.</w:t>
      </w:r>
    </w:p>
    <w:p>
      <w:pPr>
        <w:pStyle w:val="Heading2"/>
        <w:spacing w:after="160" w:before="280"/>
      </w:pPr>
      <w:r>
        <w:rPr>
          <w:rFonts w:ascii="Calibri" w:cs="Calibri" w:eastAsia="Calibri" w:hAnsi="Calibri"/>
          <w:b/>
          <w:bCs/>
          <w:color w:val="006D6D"/>
          <w:sz w:val="26"/>
          <w:szCs w:val="26"/>
        </w:rPr>
        <w:t xml:space="preserve">4.4 Retention Sensitivity</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1800"/>
        <w:gridCol w:w="1700"/>
        <w:gridCol w:w="1700"/>
      </w:tblGrid>
      <w:tr>
        <w:tc>
          <w:tcPr>
            <w:tcW w:type="dxa" w:w="2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Retention Scenario</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Employer Grp</w:t>
            </w:r>
          </w:p>
        </w:tc>
        <w:tc>
          <w:tcPr>
            <w:tcW w:type="dxa" w:w="18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Medicare Adv</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Medicaid</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ACA/Exchange</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Base (95/88/75/62%)</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$29</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w:t>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Pessimistic (90/80/65/50%)</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$14</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-$38</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Optimistic (97/92/85/75%)</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-$0.50</w:t>
            </w:r>
          </w:p>
        </w:tc>
      </w:tr>
    </w:tbl>
    <w:p>
      <w:pPr>
        <w:spacing w:after="100"/>
      </w:pPr>
      <w:r>
        <w:rPr>
          <w:rFonts w:ascii="Calibri" w:cs="Calibri" w:eastAsia="Calibri" w:hAnsi="Calibri"/>
          <w:i/>
          <w:iCs/>
          <w:color w:val="666666"/>
          <w:sz w:val="18"/>
          <w:szCs w:val="18"/>
        </w:rPr>
        <w:t xml:space="preserve">Source: Derived from Quartr segment data and historical churn rates.</w:t>
      </w:r>
    </w:p>
    <w:p>
      <w:pPr>
        <w:spacing w:after="160"/>
        <w:jc w:val="both"/>
      </w:pPr>
      <w:r>
        <w:rPr>
          <w:rFonts w:ascii="Calibri" w:cs="Calibri" w:eastAsia="Calibri" w:hAnsi="Calibri"/>
          <w:color w:val="1A1A1A"/>
          <w:sz w:val="22"/>
          <w:szCs w:val="22"/>
        </w:rPr>
        <w:t xml:space="preserve">A 5 percentage point retention decline reduces Employer Group LTV by 52% and worsens Medicare by 58%. Retention risk is elevated post-cyberattack: the Change Healthcare outage impaired claims processing for months, potentially eroding customer trust and increasing churn in the 2026 renewal cycle.</w:t>
      </w:r>
    </w:p>
    <w:p>
      <w:pPr>
        <w:pStyle w:val="Heading2"/>
        <w:spacing w:after="160" w:before="280"/>
      </w:pPr>
      <w:r>
        <w:rPr>
          <w:rFonts w:ascii="Calibri" w:cs="Calibri" w:eastAsia="Calibri" w:hAnsi="Calibri"/>
          <w:b/>
          <w:bCs/>
          <w:color w:val="006D6D"/>
          <w:sz w:val="26"/>
          <w:szCs w:val="26"/>
        </w:rPr>
        <w:t xml:space="preserve">4.5 2026 Guidance: Member Mix Optimization</w:t>
      </w:r>
    </w:p>
    <w:p>
      <w:pPr>
        <w:spacing w:after="160"/>
        <w:jc w:val="both"/>
      </w:pPr>
      <w:r>
        <w:rPr>
          <w:rFonts w:ascii="Calibri" w:cs="Calibri" w:eastAsia="Calibri" w:hAnsi="Calibri"/>
          <w:color w:val="1A1A1A"/>
          <w:sz w:val="22"/>
          <w:szCs w:val="22"/>
        </w:rPr>
        <w:t xml:space="preserve">Management’s 2026 guidance of 47.0–47.5M members (down 2.3–2.8M YoY) with adjusted EPS of $17.75+ implies remaining members are higher-margin (employer group, Medicare, supplemental). SGA as percentage of revenue should improve to 11.8–12.0% (vs. 12.5% in FY2025). The $1.4B Optum Health revenue decline in 2026 guidance implies reduced care coordination SGA spend, consistent with the contraction narrative.</w:t>
      </w:r>
    </w:p>
    <w:p>
      <w:pPr>
        <w:spacing w:after="160"/>
        <w:jc w:val="both"/>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Investor Implication:</w:t>
      </w:r>
      <w:r>
        <w:rPr>
          <w:rFonts w:ascii="Calibri" w:cs="Calibri" w:eastAsia="Calibri" w:hAnsi="Calibri"/>
          <w:color w:val="1A1A1A"/>
          <w:sz w:val="22"/>
          <w:szCs w:val="22"/>
        </w:rPr>
        <w:t xml:space="preserve"> UNH is optimizing the CAC frontier by exiting unprofitable channels. This is positive for ROIC if execution succeeds but creates earnings volatility in 2026.</w:t>
      </w:r>
    </w:p>
    <w:p>
      <w:pPr>
        <w:spacing w:after="100"/>
      </w:pPr>
      <w:r>
        <w:rPr>
          <w:rFonts w:ascii="Calibri" w:cs="Calibri" w:eastAsia="Calibri" w:hAnsi="Calibri"/>
          <w:i/>
          <w:iCs/>
          <w:color w:val="666666"/>
          <w:sz w:val="18"/>
          <w:szCs w:val="18"/>
        </w:rPr>
        <w:t xml:space="preserve">Source: Quartr — Q4 2025 Earnings Call; Management 2026 Guidance.</w:t>
      </w:r>
    </w:p>
    <w:p>
      <w:r>
        <w:br w:type="page"/>
      </w:r>
    </w:p>
    <w:p>
      <w:pPr>
        <w:pStyle w:val="Heading1"/>
        <w:spacing w:after="200" w:before="360"/>
      </w:pPr>
      <w:r>
        <w:rPr>
          <w:rFonts w:ascii="Calibri" w:cs="Calibri" w:eastAsia="Calibri" w:hAnsi="Calibri"/>
          <w:b/>
          <w:bCs/>
          <w:color w:val="1A1A1A"/>
          <w:sz w:val="32"/>
          <w:szCs w:val="32"/>
        </w:rPr>
        <w:t xml:space="preserve">5. Financial Model and Projections</w:t>
      </w:r>
    </w:p>
    <w:p>
      <w:pPr>
        <w:pStyle w:val="Heading2"/>
        <w:spacing w:after="160" w:before="280"/>
      </w:pPr>
      <w:r>
        <w:rPr>
          <w:rFonts w:ascii="Calibri" w:cs="Calibri" w:eastAsia="Calibri" w:hAnsi="Calibri"/>
          <w:b/>
          <w:bCs/>
          <w:color w:val="006D6D"/>
          <w:sz w:val="26"/>
          <w:szCs w:val="26"/>
        </w:rPr>
        <w:t xml:space="preserve">5.1 Eight-Year Income Statement with Economic EBITDA</w:t>
      </w:r>
    </w:p>
    <w:p>
      <w:pPr>
        <w:spacing w:after="160"/>
        <w:jc w:val="both"/>
      </w:pPr>
      <w:r>
        <w:rPr>
          <w:rFonts w:ascii="Calibri" w:cs="Calibri" w:eastAsia="Calibri" w:hAnsi="Calibri"/>
          <w:color w:val="1A1A1A"/>
          <w:sz w:val="22"/>
          <w:szCs w:val="22"/>
        </w:rPr>
        <w:t xml:space="preserve">Economic EBITDA (Adjusted EBITDA minus stock-based compensation) is the correct metric for assessing owner earnings because SBC represents real dilution to equity holders. UNH’s SBC is modest relative to revenue (0.22–0.29%) but material relative to net income (4–5%).</w:t>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700"/>
        <w:gridCol w:w="1000"/>
        <w:gridCol w:w="1100"/>
        <w:gridCol w:w="1050"/>
        <w:gridCol w:w="850"/>
        <w:gridCol w:w="1100"/>
        <w:gridCol w:w="900"/>
        <w:gridCol w:w="1050"/>
        <w:gridCol w:w="1050"/>
      </w:tblGrid>
      <w:tr>
        <w:tc>
          <w:tcPr>
            <w:tcW w:type="dxa" w:w="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w:t>
            </w:r>
          </w:p>
        </w:tc>
        <w:tc>
          <w:tcPr>
            <w:tcW w:type="dxa" w:w="1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Rev ($B)</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Op Inc ($B)</w:t>
            </w:r>
          </w:p>
        </w:tc>
        <w:tc>
          <w:tcPr>
            <w:tcW w:type="dxa" w:w="105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EBITDA ($B)</w:t>
            </w:r>
          </w:p>
        </w:tc>
        <w:tc>
          <w:tcPr>
            <w:tcW w:type="dxa" w:w="85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SBC ($B)</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Econ EBITDA</w:t>
            </w:r>
          </w:p>
        </w:tc>
        <w:tc>
          <w:tcPr>
            <w:tcW w:type="dxa" w:w="9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SBC/Rev</w:t>
            </w:r>
          </w:p>
        </w:tc>
        <w:tc>
          <w:tcPr>
            <w:tcW w:type="dxa" w:w="105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Net Inc ($B)</w:t>
            </w:r>
          </w:p>
        </w:tc>
        <w:tc>
          <w:tcPr>
            <w:tcW w:type="dxa" w:w="105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Dil EPS</w:t>
            </w:r>
          </w:p>
        </w:tc>
      </w:tr>
      <w:tr>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2018</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226.3</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17.3</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19.8</w:t>
            </w:r>
          </w:p>
        </w:tc>
        <w:tc>
          <w:tcPr>
            <w:tcW w:type="dxa" w:w="8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0.64</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$19.1B</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0.28%</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12.0</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$12.19</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2019</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242.2</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19.7</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22.4</w:t>
            </w:r>
          </w:p>
        </w:tc>
        <w:tc>
          <w:tcPr>
            <w:tcW w:type="dxa" w:w="8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0.70</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$21.7B</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0.29%</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13.8</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$14.33</w:t>
            </w:r>
          </w:p>
        </w:tc>
      </w:tr>
      <w:tr>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2020</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257.1</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22.4</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25.3</w:t>
            </w:r>
          </w:p>
        </w:tc>
        <w:tc>
          <w:tcPr>
            <w:tcW w:type="dxa" w:w="8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0.68</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$24.6B</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0.26%</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15.4</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$16.03</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2021</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287.6</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24.0</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27.1</w:t>
            </w:r>
          </w:p>
        </w:tc>
        <w:tc>
          <w:tcPr>
            <w:tcW w:type="dxa" w:w="8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0.80</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$26.3B</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0.28%</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17.3</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$18.08</w:t>
            </w:r>
          </w:p>
        </w:tc>
      </w:tr>
      <w:tr>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2022</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324.2</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28.4</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31.8</w:t>
            </w:r>
          </w:p>
        </w:tc>
        <w:tc>
          <w:tcPr>
            <w:tcW w:type="dxa" w:w="8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0.93</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$30.9B</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0.29%</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20.1</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$21.18</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2023</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371.6</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32.4</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36.3</w:t>
            </w:r>
          </w:p>
        </w:tc>
        <w:tc>
          <w:tcPr>
            <w:tcW w:type="dxa" w:w="8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1.06</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$35.3B</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0.29%</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22.4</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$23.86</w:t>
            </w:r>
          </w:p>
        </w:tc>
      </w:tr>
      <w:tr>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2024</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400.3</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32.3</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36.4</w:t>
            </w:r>
          </w:p>
        </w:tc>
        <w:tc>
          <w:tcPr>
            <w:tcW w:type="dxa" w:w="8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1.02</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$35.4B</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0.26%</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14.4</w:t>
            </w:r>
          </w:p>
        </w:tc>
        <w:tc>
          <w:tcPr>
            <w:tcW w:type="dxa" w:w="1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$15.51</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2025</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447.6</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19.0*</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36.4**</w:t>
            </w:r>
          </w:p>
        </w:tc>
        <w:tc>
          <w:tcPr>
            <w:tcW w:type="dxa" w:w="8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0.97</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$35.4B</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0.22%</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12.8</w:t>
            </w:r>
          </w:p>
        </w:tc>
        <w:tc>
          <w:tcPr>
            <w:tcW w:type="dxa" w:w="105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$13.23</w:t>
            </w:r>
          </w:p>
        </w:tc>
      </w:tr>
    </w:tbl>
    <w:p>
      <w:pPr>
        <w:spacing w:after="100"/>
      </w:pPr>
      <w:r>
        <w:rPr>
          <w:rFonts w:ascii="Calibri" w:cs="Calibri" w:eastAsia="Calibri" w:hAnsi="Calibri"/>
          <w:i/>
          <w:iCs/>
          <w:color w:val="666666"/>
          <w:sz w:val="18"/>
          <w:szCs w:val="18"/>
        </w:rPr>
        <w:t xml:space="preserve">*FY2025 op. income includes $2.5B restructuring + $1.6B noncash charges. **EBITDA adds back. Source: Quartr 10-K FY2018–2025.</w:t>
      </w:r>
    </w:p>
    <w:p>
      <w:pPr>
        <w:spacing w:after="160"/>
        <w:jc w:val="both"/>
      </w:pPr>
      <w:r>
        <w:rPr>
          <w:rFonts w:ascii="Calibri" w:cs="Calibri" w:eastAsia="Calibri" w:hAnsi="Calibri"/>
          <w:color w:val="1A1A1A"/>
          <w:sz w:val="22"/>
          <w:szCs w:val="22"/>
        </w:rPr>
        <w:t xml:space="preserve">Economic EBITDA has plateaued at $35.3–$35.4B for three consecutive years (FY2023–FY2025), indicating the growth engine has stalled even as revenue continued to expand. Economic EBITDA margin compressed from 9.5% (FY2023) to 7.9% (FY2025)—a direct consequence of MCR deterioration.</w:t>
      </w:r>
    </w:p>
    <w:p>
      <w:pPr>
        <w:pStyle w:val="Heading2"/>
        <w:spacing w:after="160" w:before="280"/>
      </w:pPr>
      <w:r>
        <w:rPr>
          <w:rFonts w:ascii="Calibri" w:cs="Calibri" w:eastAsia="Calibri" w:hAnsi="Calibri"/>
          <w:b/>
          <w:bCs/>
          <w:color w:val="006D6D"/>
          <w:sz w:val="26"/>
          <w:szCs w:val="26"/>
        </w:rPr>
        <w:t xml:space="preserve">5.2 Quarterly KPI Dashboard (Recent 6 Quarters)</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1200"/>
        <w:gridCol w:w="1500"/>
        <w:gridCol w:w="1400"/>
        <w:gridCol w:w="1400"/>
      </w:tblGrid>
      <w:tr>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Quarter</w:t>
            </w:r>
          </w:p>
        </w:tc>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Revenue ($B)</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MCR</w:t>
            </w:r>
          </w:p>
        </w:tc>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Op. Inc ($B)</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Adj. EPS</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Members (M)</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Q3 2024</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$100.8</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85.2%</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$8.7</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$7.15</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49.8</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Q4 2024</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$102.4</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86.0%</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$7.8</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$6.81</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49.3</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Q1 2025</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$109.6</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87.3%</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$6.2</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$7.61</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49.5</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Q2 2025</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$112.4</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89.5%</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$3.74*</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49.3</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Q3 2025</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$113.8</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89.8%</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$5.8</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$7.71</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49.1</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Q4 2025</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$111.8</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89.1%</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$5.1*</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$0.01*</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49.3</w:t>
            </w:r>
          </w:p>
        </w:tc>
      </w:tr>
    </w:tbl>
    <w:p>
      <w:pPr>
        <w:spacing w:after="100"/>
      </w:pPr>
      <w:r>
        <w:rPr>
          <w:rFonts w:ascii="Calibri" w:cs="Calibri" w:eastAsia="Calibri" w:hAnsi="Calibri"/>
          <w:i/>
          <w:iCs/>
          <w:color w:val="666666"/>
          <w:sz w:val="18"/>
          <w:szCs w:val="18"/>
        </w:rPr>
        <w:t xml:space="preserve">*Q2 2025 includes $2.5B restructuring; Q4 2025 includes $1.6B noncash charge. Source: Quartr quarterly reports.</w:t>
      </w:r>
    </w:p>
    <w:p>
      <w:pPr>
        <w:spacing w:after="160"/>
        <w:jc w:val="both"/>
      </w:pPr>
      <w:r>
        <w:rPr>
          <w:rFonts w:ascii="Calibri" w:cs="Calibri" w:eastAsia="Calibri" w:hAnsi="Calibri"/>
          <w:color w:val="1A1A1A"/>
          <w:sz w:val="22"/>
          <w:szCs w:val="22"/>
        </w:rPr>
        <w:t xml:space="preserve">The quarterly trajectory shows MCR deteriorating from 85.2% (Q3 2024) to 89.8% (Q3 2025) before stabilizing at 89.1% in Q4 2025. Management’s 2026 guidance of 88.8% ±50 bps implies slight improvement, requiring both premium rate increases and medical cost trend moderation.</w:t>
      </w:r>
    </w:p>
    <w:p>
      <w:pPr>
        <w:pStyle w:val="Heading2"/>
        <w:spacing w:after="160" w:before="280"/>
      </w:pPr>
      <w:r>
        <w:rPr>
          <w:rFonts w:ascii="Calibri" w:cs="Calibri" w:eastAsia="Calibri" w:hAnsi="Calibri"/>
          <w:b/>
          <w:bCs/>
          <w:color w:val="006D6D"/>
          <w:sz w:val="26"/>
          <w:szCs w:val="26"/>
        </w:rPr>
        <w:t xml:space="preserve">5.3 Balance Sheet Snapshot (FY2025)</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3200"/>
        <w:gridCol w:w="2200"/>
        <w:gridCol w:w="2200"/>
        <w:gridCol w:w="1700"/>
      </w:tblGrid>
      <w:tr>
        <w:tc>
          <w:tcPr>
            <w:tcW w:type="dxa" w:w="3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Item</w:t>
            </w:r>
          </w:p>
        </w:tc>
        <w:tc>
          <w:tcPr>
            <w:tcW w:type="dxa" w:w="2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FY2025</w:t>
            </w:r>
          </w:p>
        </w:tc>
        <w:tc>
          <w:tcPr>
            <w:tcW w:type="dxa" w:w="2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FY2024</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Change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Total Assets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$283.4B</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$273.8B</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+$9.6B</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Cash &amp; Investments</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$31.0B</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$32.2B</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-$1.2B</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Total Debt</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$57.2B</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$54.8B</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+$2.4B</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Net Debt</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$26.2B</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$22.6B</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+$3.6B</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Total Equity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$82.1B</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$79.8B</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+$2.3B</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Net Debt / EBITDA</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0.9x</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0.9x</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Stable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Interest Coverage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8.2x</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9.5x</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Declining</w:t>
            </w:r>
          </w:p>
        </w:tc>
      </w:tr>
    </w:tbl>
    <w:p>
      <w:pPr>
        <w:spacing w:after="100"/>
      </w:pPr>
      <w:r>
        <w:rPr>
          <w:rFonts w:ascii="Calibri" w:cs="Calibri" w:eastAsia="Calibri" w:hAnsi="Calibri"/>
          <w:i/>
          <w:iCs/>
          <w:color w:val="666666"/>
          <w:sz w:val="18"/>
          <w:szCs w:val="18"/>
        </w:rPr>
        <w:t xml:space="preserve">Source: Quartr — 10-K FY2025, FY2024 Balance Sheet.</w:t>
      </w:r>
    </w:p>
    <w:p>
      <w:pPr>
        <w:pStyle w:val="Heading2"/>
        <w:spacing w:after="160" w:before="280"/>
      </w:pPr>
      <w:r>
        <w:rPr>
          <w:rFonts w:ascii="Calibri" w:cs="Calibri" w:eastAsia="Calibri" w:hAnsi="Calibri"/>
          <w:b/>
          <w:bCs/>
          <w:color w:val="006D6D"/>
          <w:sz w:val="26"/>
          <w:szCs w:val="26"/>
        </w:rPr>
        <w:t xml:space="preserve">5.4 Accounting Discontinuities</w:t>
      </w:r>
    </w:p>
    <w:p>
      <w:pPr>
        <w:spacing w:after="160"/>
        <w:jc w:val="both"/>
      </w:pPr>
      <w:r>
        <w:rPr>
          <w:rFonts w:ascii="Calibri" w:cs="Calibri" w:eastAsia="Calibri" w:hAnsi="Calibri"/>
          <w:color w:val="1A1A1A"/>
          <w:sz w:val="22"/>
          <w:szCs w:val="22"/>
        </w:rPr>
        <w:t xml:space="preserve">UNH’s reported financials contain significant one-time items that distort year-over-year comparisons. Analysts must adjust for these to build clean trend models:</w:t>
      </w:r>
    </w:p>
    <w:tbl>
      <w:tblPr>
        <w:tblW w:type="dxa" w:w="8000"/>
        <w:tblBorders>
          <w:top w:val="single" w:color="auto" w:sz="4"/>
          <w:left w:val="single" w:color="auto" w:sz="4"/>
          <w:bottom w:val="single" w:color="auto" w:sz="4"/>
          <w:right w:val="single" w:color="auto" w:sz="4"/>
          <w:insideH w:val="single" w:color="auto" w:sz="4"/>
          <w:insideV w:val="single" w:color="auto" w:sz="4"/>
        </w:tblBorders>
      </w:tblPr>
      <w:tblGrid>
        <w:gridCol w:w="1100"/>
        <w:gridCol w:w="1800"/>
        <w:gridCol w:w="1500"/>
        <w:gridCol w:w="1200"/>
        <w:gridCol w:w="1200"/>
        <w:gridCol w:w="1200"/>
      </w:tblGrid>
      <w:tr>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Period</w:t>
            </w:r>
          </w:p>
        </w:tc>
        <w:tc>
          <w:tcPr>
            <w:tcW w:type="dxa" w:w="18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Event</w:t>
            </w:r>
          </w:p>
        </w:tc>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Impact</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Reported EPS</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Adj. EPS</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Distortion</w:t>
            </w:r>
          </w:p>
        </w:tc>
      </w:tr>
      <w:tr>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Q1 2024</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Change Healthcare cyberattack</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$462M reserves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-$1.53</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-96%</w:t>
            </w:r>
          </w:p>
        </w:tc>
      </w:tr>
      <w:tr>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FY2024</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Cumulative cyberattack</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$1.5B+ total</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$15.51</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w:t>
            </w:r>
          </w:p>
        </w:tc>
      </w:tr>
      <w:tr>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Q2 2025</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$2.5B restructuring</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Severance, IT</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$3.74</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~$6.50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-43%</w:t>
            </w:r>
          </w:p>
        </w:tc>
      </w:tr>
      <w:tr>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Q4 2025</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$1.6B noncash charge</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Intangible adj.</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$0.01</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-99.8%</w:t>
            </w:r>
          </w:p>
        </w:tc>
      </w:tr>
      <w:tr>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FY2025</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All items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$4.1B pre-tax</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$13.23</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$16.35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w:t>
            </w:r>
          </w:p>
        </w:tc>
      </w:tr>
    </w:tbl>
    <w:p>
      <w:pPr>
        <w:spacing w:after="100"/>
      </w:pPr>
      <w:r>
        <w:rPr>
          <w:rFonts w:ascii="Calibri" w:cs="Calibri" w:eastAsia="Calibri" w:hAnsi="Calibri"/>
          <w:i/>
          <w:iCs/>
          <w:color w:val="666666"/>
          <w:sz w:val="18"/>
          <w:szCs w:val="18"/>
        </w:rPr>
        <w:t xml:space="preserve">Source: Quartr — 10-K FY2024, FY2025; Q4 2025 Earnings Call; management adjusted EPS reconciliation.</w:t>
      </w:r>
    </w:p>
    <w:p>
      <w:pPr>
        <w:spacing w:after="160"/>
        <w:jc w:val="both"/>
      </w:pPr>
      <w:r>
        <w:rPr>
          <w:rFonts w:ascii="Calibri" w:cs="Calibri" w:eastAsia="Calibri" w:hAnsi="Calibri"/>
          <w:color w:val="1A1A1A"/>
          <w:sz w:val="22"/>
          <w:szCs w:val="22"/>
        </w:rPr>
        <w:t xml:space="preserve">The adjusted income bridge is critical: FY2025 reported EPS of $13.23 vs. adjusted EPS of $16.35 represents a 23% gap entirely attributable to non-recurring items. DeVeydt confirmed: “Adjusted earnings of $16.35 per share reflect the underlying operational performance of our businesses, excluding the restructuring and noncash charges that we believe are non-recurring.”</w:t>
      </w:r>
    </w:p>
    <w:p>
      <w:pPr>
        <w:spacing w:after="100"/>
      </w:pPr>
      <w:r>
        <w:rPr>
          <w:rFonts w:ascii="Calibri" w:cs="Calibri" w:eastAsia="Calibri" w:hAnsi="Calibri"/>
          <w:i/>
          <w:iCs/>
          <w:color w:val="666666"/>
          <w:sz w:val="18"/>
          <w:szCs w:val="18"/>
        </w:rPr>
        <w:t xml:space="preserve">Source: Quartr — Q4 2025 Earnings Call Transcript (Doc ID: 2675770), Wayne DeVeydt.</w:t>
      </w:r>
    </w:p>
    <w:p>
      <w:pPr>
        <w:pStyle w:val="Heading2"/>
        <w:spacing w:after="160" w:before="280"/>
      </w:pPr>
      <w:r>
        <w:rPr>
          <w:rFonts w:ascii="Calibri" w:cs="Calibri" w:eastAsia="Calibri" w:hAnsi="Calibri"/>
          <w:b/>
          <w:bCs/>
          <w:color w:val="006D6D"/>
          <w:sz w:val="26"/>
          <w:szCs w:val="26"/>
        </w:rPr>
        <w:t xml:space="preserve">5.5 Segment Revenue and Growth Trajectory</w:t>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800"/>
        <w:gridCol w:w="1300"/>
        <w:gridCol w:w="1300"/>
        <w:gridCol w:w="1300"/>
        <w:gridCol w:w="1100"/>
        <w:gridCol w:w="1400"/>
      </w:tblGrid>
      <w:tr>
        <w:tc>
          <w:tcPr>
            <w:tcW w:type="dxa" w:w="18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Segment</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FY2023 ($B)</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FY2024 ($B)</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FY2025 ($B)</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YoY</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FY2026E</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UnitedHealthcare</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$281.4</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$298.2</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$344.9</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$350–355</w:t>
            </w:r>
          </w:p>
        </w:tc>
      </w:tr>
      <w:tr>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Optum Health</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$99.3</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$105.0</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$101.9</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$97–100</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Optum Insight</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$17.2</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$18.0</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$19.4</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$20–21</w:t>
            </w:r>
          </w:p>
        </w:tc>
      </w:tr>
      <w:tr>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Optum Rx</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$125.3</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$132.8</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$154.7</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$160–165</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Eliminations</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($151.7)</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($153.7)</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($173.3)</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r>
      <w:tr>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Consolidated</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$371.6</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$400.3</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$447.6</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~$440</w:t>
            </w:r>
          </w:p>
        </w:tc>
      </w:tr>
    </w:tbl>
    <w:p>
      <w:pPr>
        <w:spacing w:after="100"/>
      </w:pPr>
      <w:r>
        <w:rPr>
          <w:rFonts w:ascii="Calibri" w:cs="Calibri" w:eastAsia="Calibri" w:hAnsi="Calibri"/>
          <w:i/>
          <w:iCs/>
          <w:color w:val="666666"/>
          <w:sz w:val="18"/>
          <w:szCs w:val="18"/>
        </w:rPr>
        <w:t xml:space="preserve">Source: Quartr — 10-K FY2023–FY2025; Management 2026 Guidance.</w:t>
      </w:r>
    </w:p>
    <w:p>
      <w:pPr>
        <w:spacing w:after="160"/>
        <w:jc w:val="both"/>
      </w:pPr>
      <w:r>
        <w:rPr>
          <w:rFonts w:ascii="Calibri" w:cs="Calibri" w:eastAsia="Calibri" w:hAnsi="Calibri"/>
          <w:color w:val="1A1A1A"/>
          <w:sz w:val="22"/>
          <w:szCs w:val="22"/>
        </w:rPr>
        <w:t xml:space="preserve">The segment growth divergence is telling: UnitedHealthcare and Optum Rx both grew 16%, while Optum Health contracted 3%. The 2026 guidance of ~$440B total revenue (down from $447.6B) reflects the deliberate membership contraction—management is prioritizing margin over volume.</w:t>
      </w:r>
    </w:p>
    <w:p>
      <w:pPr>
        <w:pStyle w:val="Heading2"/>
        <w:spacing w:after="160" w:before="280"/>
      </w:pPr>
      <w:r>
        <w:rPr>
          <w:rFonts w:ascii="Calibri" w:cs="Calibri" w:eastAsia="Calibri" w:hAnsi="Calibri"/>
          <w:b/>
          <w:bCs/>
          <w:color w:val="006D6D"/>
          <w:sz w:val="26"/>
          <w:szCs w:val="26"/>
        </w:rPr>
        <w:t xml:space="preserve">5.6 Trend Analysis Protocol</w:t>
      </w:r>
    </w:p>
    <w:p>
      <w:pPr>
        <w:spacing w:after="160"/>
        <w:jc w:val="both"/>
      </w:pPr>
      <w:r>
        <w:rPr>
          <w:rFonts w:ascii="Calibri" w:cs="Calibri" w:eastAsia="Calibri" w:hAnsi="Calibri"/>
          <w:color w:val="1A1A1A"/>
          <w:sz w:val="22"/>
          <w:szCs w:val="22"/>
        </w:rPr>
        <w:t xml:space="preserve">For clean trend analysis, analysts should: (1) use adjusted EPS for 2024–2025 baseline ($19.00 → $16.35 = -13.9% decline); (2) isolate MCR deleverage from one-time charges; (3) project restructuring benefits conservatively at 60–70% realization ($300–$350M vs. $500M+ guided); (4) flag segment realignment as forecasting risk since 2026 Optum Insight may differ from 2025; and (5) add 5% probability of additional $500M cyber tail charge in 2026–2027.</w:t>
      </w:r>
    </w:p>
    <w:p>
      <w:pPr>
        <w:spacing w:after="100"/>
      </w:pPr>
      <w:r>
        <w:rPr>
          <w:rFonts w:ascii="Calibri" w:cs="Calibri" w:eastAsia="Calibri" w:hAnsi="Calibri"/>
          <w:i/>
          <w:iCs/>
          <w:color w:val="666666"/>
          <w:sz w:val="18"/>
          <w:szCs w:val="18"/>
        </w:rPr>
        <w:t xml:space="preserve">Source: Accounting discontinuity analysis; Quartr 10-K FY2024–FY2025.</w:t>
      </w:r>
    </w:p>
    <w:p>
      <w:r>
        <w:br w:type="page"/>
      </w:r>
    </w:p>
    <w:p>
      <w:pPr>
        <w:pStyle w:val="Heading1"/>
        <w:spacing w:after="200" w:before="360"/>
      </w:pPr>
      <w:r>
        <w:rPr>
          <w:rFonts w:ascii="Calibri" w:cs="Calibri" w:eastAsia="Calibri" w:hAnsi="Calibri"/>
          <w:b/>
          <w:bCs/>
          <w:color w:val="1A1A1A"/>
          <w:sz w:val="32"/>
          <w:szCs w:val="32"/>
        </w:rPr>
        <w:t xml:space="preserve">6. Tailwinds, Headwinds, and Risk Quantification</w:t>
      </w:r>
    </w:p>
    <w:p>
      <w:pPr>
        <w:pStyle w:val="Heading2"/>
        <w:spacing w:after="160" w:before="280"/>
      </w:pPr>
      <w:r>
        <w:rPr>
          <w:rFonts w:ascii="Calibri" w:cs="Calibri" w:eastAsia="Calibri" w:hAnsi="Calibri"/>
          <w:b/>
          <w:bCs/>
          <w:color w:val="006D6D"/>
          <w:sz w:val="26"/>
          <w:szCs w:val="26"/>
        </w:rPr>
        <w:t xml:space="preserve">6.1 Tailwinds</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Aging U.S. population:</w:t>
      </w:r>
      <w:r>
        <w:rPr>
          <w:rFonts w:ascii="Calibri" w:cs="Calibri" w:eastAsia="Calibri" w:hAnsi="Calibri"/>
          <w:color w:val="1A1A1A"/>
          <w:sz w:val="22"/>
          <w:szCs w:val="22"/>
        </w:rPr>
        <w:t xml:space="preserve"> 10,000 Americans turn 65 daily; Medicare Advantage TAM expands structurally. UNH serves ~13M MA members with room for share gains despite near-term contraction.</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Restructuring cost savings:</w:t>
      </w:r>
      <w:r>
        <w:rPr>
          <w:rFonts w:ascii="Calibri" w:cs="Calibri" w:eastAsia="Calibri" w:hAnsi="Calibri"/>
          <w:color w:val="1A1A1A"/>
          <w:sz w:val="22"/>
          <w:szCs w:val="22"/>
        </w:rPr>
        <w:t xml:space="preserve"> $2.5B charge in 2025 should yield $500M+ annual savings in 2026–2027 through headcount reductions, facility closures, and IT consolidation.</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Optum Rx secular growth:</w:t>
      </w:r>
      <w:r>
        <w:rPr>
          <w:rFonts w:ascii="Calibri" w:cs="Calibri" w:eastAsia="Calibri" w:hAnsi="Calibri"/>
          <w:color w:val="1A1A1A"/>
          <w:sz w:val="22"/>
          <w:szCs w:val="22"/>
        </w:rPr>
        <w:t xml:space="preserve"> Specialty pharmacy growth of 15–20% annually; biosimilar adoption creating margin expansion opportunities.</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AI and automation opportunity:</w:t>
      </w:r>
      <w:r>
        <w:rPr>
          <w:rFonts w:ascii="Calibri" w:cs="Calibri" w:eastAsia="Calibri" w:hAnsi="Calibri"/>
          <w:color w:val="1A1A1A"/>
          <w:sz w:val="22"/>
          <w:szCs w:val="22"/>
        </w:rPr>
        <w:t xml:space="preserve"> If UNH leads in AI-driven claims processing and care routing, SGA could compress 150–250 bps, creating $6–10B in cumulative savings over 5 years.</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Share buyback at depressed price:</w:t>
      </w:r>
      <w:r>
        <w:rPr>
          <w:rFonts w:ascii="Calibri" w:cs="Calibri" w:eastAsia="Calibri" w:hAnsi="Calibri"/>
          <w:color w:val="1A1A1A"/>
          <w:sz w:val="22"/>
          <w:szCs w:val="22"/>
        </w:rPr>
        <w:t xml:space="preserve"> At $259 per share (vs. $500+ in 2024), buybacks are highly accretive.</w:t>
      </w:r>
    </w:p>
    <w:p>
      <w:pPr>
        <w:pStyle w:val="Heading2"/>
        <w:spacing w:after="160" w:before="280"/>
      </w:pPr>
      <w:r>
        <w:rPr>
          <w:rFonts w:ascii="Calibri" w:cs="Calibri" w:eastAsia="Calibri" w:hAnsi="Calibri"/>
          <w:b/>
          <w:bCs/>
          <w:color w:val="006D6D"/>
          <w:sz w:val="26"/>
          <w:szCs w:val="26"/>
        </w:rPr>
        <w:t xml:space="preserve">6.2 Headwinds</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Medical cost inflation:</w:t>
      </w:r>
      <w:r>
        <w:rPr>
          <w:rFonts w:ascii="Calibri" w:cs="Calibri" w:eastAsia="Calibri" w:hAnsi="Calibri"/>
          <w:color w:val="1A1A1A"/>
          <w:sz w:val="22"/>
          <w:szCs w:val="22"/>
        </w:rPr>
        <w:t xml:space="preserve"> Nursing wages up 5–7% annually; specialty pharma +8–12%; behavioral health +15–20% YoY. Structural, not cyclical.</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V28 risk adjustment headwind:</w:t>
      </w:r>
      <w:r>
        <w:rPr>
          <w:rFonts w:ascii="Calibri" w:cs="Calibri" w:eastAsia="Calibri" w:hAnsi="Calibri"/>
          <w:color w:val="1A1A1A"/>
          <w:sz w:val="22"/>
          <w:szCs w:val="22"/>
        </w:rPr>
        <w:t xml:space="preserve"> CMS V28 model creates ~$6B revenue headwind; management expects offset, but mitigation risk is 35–40%.</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Membership contraction:</w:t>
      </w:r>
      <w:r>
        <w:rPr>
          <w:rFonts w:ascii="Calibri" w:cs="Calibri" w:eastAsia="Calibri" w:hAnsi="Calibri"/>
          <w:color w:val="1A1A1A"/>
          <w:sz w:val="22"/>
          <w:szCs w:val="22"/>
        </w:rPr>
        <w:t xml:space="preserve"> 2.3–2.8M member decline in 2026 reduces revenue base and scale economies.</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Cyberattack tail risk:</w:t>
      </w:r>
      <w:r>
        <w:rPr>
          <w:rFonts w:ascii="Calibri" w:cs="Calibri" w:eastAsia="Calibri" w:hAnsi="Calibri"/>
          <w:color w:val="1A1A1A"/>
          <w:sz w:val="22"/>
          <w:szCs w:val="22"/>
        </w:rPr>
        <w:t xml:space="preserve"> Change Healthcare breach affected 100M+ members; ongoing litigation and remediation costs.</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DOJ antitrust scrutiny:</w:t>
      </w:r>
      <w:r>
        <w:rPr>
          <w:rFonts w:ascii="Calibri" w:cs="Calibri" w:eastAsia="Calibri" w:hAnsi="Calibri"/>
          <w:color w:val="1A1A1A"/>
          <w:sz w:val="22"/>
          <w:szCs w:val="22"/>
        </w:rPr>
        <w:t xml:space="preserve"> Vertical integration under review; forced divestiture is a 10–15% probability tail risk.</w:t>
      </w:r>
    </w:p>
    <w:p>
      <w:pPr>
        <w:pStyle w:val="Heading2"/>
        <w:spacing w:after="160" w:before="280"/>
      </w:pPr>
      <w:r>
        <w:rPr>
          <w:rFonts w:ascii="Calibri" w:cs="Calibri" w:eastAsia="Calibri" w:hAnsi="Calibri"/>
          <w:b/>
          <w:bCs/>
          <w:color w:val="006D6D"/>
          <w:sz w:val="26"/>
          <w:szCs w:val="26"/>
        </w:rPr>
        <w:t xml:space="preserve">6.3 Quantified Risk Table — Expected Annual FCF Drag</w:t>
      </w:r>
    </w:p>
    <w:p>
      <w:pPr>
        <w:spacing w:after="160"/>
        <w:jc w:val="both"/>
      </w:pPr>
      <w:r>
        <w:rPr>
          <w:rFonts w:ascii="Calibri" w:cs="Calibri" w:eastAsia="Calibri" w:hAnsi="Calibri"/>
          <w:color w:val="1A1A1A"/>
          <w:sz w:val="22"/>
          <w:szCs w:val="22"/>
        </w:rPr>
        <w:t xml:space="preserve">Systematic quantification of material operational risks as P(occurrence) × Annual FCF Impact = Expected Annual Drag:</w:t>
      </w:r>
    </w:p>
    <w:tbl>
      <w:tblPr>
        <w:tblW w:type="dxa" w:w="7500"/>
        <w:tblBorders>
          <w:top w:val="single" w:color="auto" w:sz="4"/>
          <w:left w:val="single" w:color="auto" w:sz="4"/>
          <w:bottom w:val="single" w:color="auto" w:sz="4"/>
          <w:right w:val="single" w:color="auto" w:sz="4"/>
          <w:insideH w:val="single" w:color="auto" w:sz="4"/>
          <w:insideV w:val="single" w:color="auto" w:sz="4"/>
        </w:tblBorders>
      </w:tblPr>
      <w:tblGrid>
        <w:gridCol w:w="1700"/>
        <w:gridCol w:w="900"/>
        <w:gridCol w:w="1200"/>
        <w:gridCol w:w="1200"/>
        <w:gridCol w:w="1300"/>
        <w:gridCol w:w="1200"/>
      </w:tblGrid>
      <w:tr>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Risk</w:t>
            </w:r>
          </w:p>
        </w:tc>
        <w:tc>
          <w:tcPr>
            <w:tcW w:type="dxa" w:w="9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P(risk)</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FCF Impact</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Exp. Drag</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3-Yr Cum.</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DCF Impact</w:t>
            </w:r>
          </w:p>
        </w:tc>
      </w:tr>
      <w:tr>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1. MCR +100bps</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-$1,125M</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-$3,375M</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-$9.2B</w:t>
            </w:r>
          </w:p>
        </w:tc>
      </w:tr>
      <w:tr>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 V28 Headwind</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-$2.4B</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-$840M</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-$2,520M</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-$6.9B</w:t>
            </w:r>
          </w:p>
        </w:tc>
      </w:tr>
      <w:tr>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3. Cyber Tail</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-$0.8B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-$120M</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-$360M</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-$1.0B</w:t>
            </w:r>
          </w:p>
        </w:tc>
      </w:tr>
      <w:tr>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4. Regulatory Fine</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-$1.0B</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-$200M</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-$1,000M</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-$2.7B</w:t>
            </w:r>
          </w:p>
        </w:tc>
      </w:tr>
      <w:tr>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5. Optum Health</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-$0.5B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-$150M</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-$450M</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-$1.2B</w:t>
            </w:r>
          </w:p>
        </w:tc>
      </w:tr>
      <w:tr>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6. Member Churn</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-$0.6B</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-$150M</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-$450M</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-$1.2B</w:t>
            </w:r>
          </w:p>
        </w:tc>
      </w:tr>
      <w:tr>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7. Specialty Pharma</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-$0.3B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-$120M</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-$360M</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-$1.0B</w:t>
            </w:r>
          </w:p>
        </w:tc>
      </w:tr>
      <w:tr>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TOTAL</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-$2,705M</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-$8,115M</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-$23.2B</w:t>
            </w:r>
          </w:p>
        </w:tc>
      </w:tr>
    </w:tbl>
    <w:p>
      <w:pPr>
        <w:spacing w:after="100"/>
      </w:pPr>
      <w:r>
        <w:rPr>
          <w:rFonts w:ascii="Calibri" w:cs="Calibri" w:eastAsia="Calibri" w:hAnsi="Calibri"/>
          <w:i/>
          <w:iCs/>
          <w:color w:val="666666"/>
          <w:sz w:val="18"/>
          <w:szCs w:val="18"/>
        </w:rPr>
        <w:t xml:space="preserve">Source: Quartr financial data; probability estimates based on historical precedent and guidance sensitivity.</w:t>
      </w:r>
    </w:p>
    <w:p>
      <w:pPr>
        <w:pStyle w:val="Heading2"/>
        <w:spacing w:after="160" w:before="280"/>
      </w:pPr>
      <w:r>
        <w:rPr>
          <w:rFonts w:ascii="Calibri" w:cs="Calibri" w:eastAsia="Calibri" w:hAnsi="Calibri"/>
          <w:b/>
          <w:bCs/>
          <w:color w:val="006D6D"/>
          <w:sz w:val="26"/>
          <w:szCs w:val="26"/>
        </w:rPr>
        <w:t xml:space="preserve">6.4 Supplemental Risks: Underdiscussed but Material</w:t>
      </w:r>
    </w:p>
    <w:p>
      <w:pPr>
        <w:spacing w:after="160"/>
        <w:jc w:val="both"/>
      </w:pPr>
      <w:r>
        <w:rPr>
          <w:rFonts w:ascii="Calibri" w:cs="Calibri" w:eastAsia="Calibri" w:hAnsi="Calibri"/>
          <w:color w:val="1A1A1A"/>
          <w:sz w:val="22"/>
          <w:szCs w:val="22"/>
        </w:rPr>
        <w:t xml:space="preserve">Five additional risks not captured in the operational risk table:</w:t>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1500"/>
        <w:gridCol w:w="2100"/>
      </w:tblGrid>
      <w:tr>
        <w:tc>
          <w:tcPr>
            <w:tcW w:type="dxa" w:w="26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Risk Category</w:t>
            </w:r>
          </w:p>
        </w:tc>
        <w:tc>
          <w:tcPr>
            <w:tcW w:type="dxa" w:w="2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Exp. Annual Drag</w:t>
            </w:r>
          </w:p>
        </w:tc>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Probability</w:t>
            </w:r>
          </w:p>
        </w:tc>
        <w:tc>
          <w:tcPr>
            <w:tcW w:type="dxa" w:w="2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3-Yr Impact</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DOJ/CMS Litigation</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-$1,110M</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w:t>
            </w:r>
          </w:p>
        </w:tc>
        <w:tc>
          <w:tcPr>
            <w:tcW w:type="dxa" w:w="2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-$3.3B</w:t>
            </w:r>
          </w:p>
        </w:tc>
      </w:tr>
      <w:tr>
        <w:tc>
          <w:tcPr>
            <w:tcW w:type="dxa" w:w="2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CEO Succession</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-$24M</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w:t>
            </w:r>
          </w:p>
        </w:tc>
        <w:tc>
          <w:tcPr>
            <w:tcW w:type="dxa" w:w="2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-$72M</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Legislative / Political</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-$1,168M</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w:t>
            </w:r>
          </w:p>
        </w:tc>
        <w:tc>
          <w:tcPr>
            <w:tcW w:type="dxa" w:w="2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-$3.5B</w:t>
            </w:r>
          </w:p>
        </w:tc>
      </w:tr>
      <w:tr>
        <w:tc>
          <w:tcPr>
            <w:tcW w:type="dxa" w:w="2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AI Disruption (downside)</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-$188M</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w:t>
            </w:r>
          </w:p>
        </w:tc>
        <w:tc>
          <w:tcPr>
            <w:tcW w:type="dxa" w:w="2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-$564M</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MA Concentration Risk</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-$123M</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30%</w:t>
            </w:r>
          </w:p>
        </w:tc>
        <w:tc>
          <w:tcPr>
            <w:tcW w:type="dxa" w:w="2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-$369M</w:t>
            </w:r>
          </w:p>
        </w:tc>
      </w:tr>
      <w:tr>
        <w:tc>
          <w:tcPr>
            <w:tcW w:type="dxa" w:w="2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Total Supplemental</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-$2,613M</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2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-$7.8B</w:t>
            </w:r>
          </w:p>
        </w:tc>
      </w:tr>
    </w:tbl>
    <w:p>
      <w:pPr>
        <w:spacing w:after="100"/>
      </w:pPr>
      <w:r>
        <w:rPr>
          <w:rFonts w:ascii="Calibri" w:cs="Calibri" w:eastAsia="Calibri" w:hAnsi="Calibri"/>
          <w:i/>
          <w:iCs/>
          <w:color w:val="666666"/>
          <w:sz w:val="18"/>
          <w:szCs w:val="18"/>
        </w:rPr>
        <w:t xml:space="preserve">Source: Gap Audit analysis; regulatory filings; CMS rate notices; industry research.</w:t>
      </w:r>
    </w:p>
    <w:p>
      <w:pPr>
        <w:spacing w:after="160"/>
        <w:jc w:val="both"/>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Combined risk budget: $5.3B annually in expected FCF drag</w:t>
      </w:r>
      <w:r>
        <w:rPr>
          <w:rFonts w:ascii="Calibri" w:cs="Calibri" w:eastAsia="Calibri" w:hAnsi="Calibri"/>
          <w:color w:val="1A1A1A"/>
          <w:sz w:val="22"/>
          <w:szCs w:val="22"/>
        </w:rPr>
        <w:t xml:space="preserve">, representing ~30% of current FCF generation. Applying an 80% correlation discount for diversification yields a working risk budget of ~$4.2–$4.5B. This is the risk discount applied in the DCF valuation.</w:t>
      </w:r>
    </w:p>
    <w:p>
      <w:pPr>
        <w:pStyle w:val="Heading2"/>
        <w:spacing w:after="160" w:before="280"/>
      </w:pPr>
      <w:r>
        <w:rPr>
          <w:rFonts w:ascii="Calibri" w:cs="Calibri" w:eastAsia="Calibri" w:hAnsi="Calibri"/>
          <w:b/>
          <w:bCs/>
          <w:color w:val="006D6D"/>
          <w:sz w:val="26"/>
          <w:szCs w:val="26"/>
        </w:rPr>
        <w:t xml:space="preserve">6.5 2026 Guidance Stress Test</w:t>
      </w:r>
    </w:p>
    <w:tbl>
      <w:tblPr>
        <w:tblW w:type="dxa" w:w="7800"/>
        <w:tblBorders>
          <w:top w:val="single" w:color="auto" w:sz="4"/>
          <w:left w:val="single" w:color="auto" w:sz="4"/>
          <w:bottom w:val="single" w:color="auto" w:sz="4"/>
          <w:right w:val="single" w:color="auto" w:sz="4"/>
          <w:insideH w:val="single" w:color="auto" w:sz="4"/>
          <w:insideV w:val="single" w:color="auto" w:sz="4"/>
        </w:tblBorders>
      </w:tblPr>
      <w:tblGrid>
        <w:gridCol w:w="1600"/>
        <w:gridCol w:w="1000"/>
        <w:gridCol w:w="1100"/>
        <w:gridCol w:w="1100"/>
        <w:gridCol w:w="1000"/>
        <w:gridCol w:w="1100"/>
        <w:gridCol w:w="900"/>
      </w:tblGrid>
      <w:tr>
        <w:tc>
          <w:tcPr>
            <w:tcW w:type="dxa" w:w="16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Scenario</w:t>
            </w:r>
          </w:p>
        </w:tc>
        <w:tc>
          <w:tcPr>
            <w:tcW w:type="dxa" w:w="1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Revenue</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Op Inc</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Op Margin</w:t>
            </w:r>
          </w:p>
        </w:tc>
        <w:tc>
          <w:tcPr>
            <w:tcW w:type="dxa" w:w="1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FCF</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Adj EPS</w:t>
            </w:r>
          </w:p>
        </w:tc>
        <w:tc>
          <w:tcPr>
            <w:tcW w:type="dxa" w:w="9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Miss %</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Base (Consensus)</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$460B</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$24.5B</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5.3%</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$18.0B</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$17.75</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w:t>
            </w:r>
          </w:p>
        </w:tc>
      </w:tr>
      <w:tr>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+Risk #1 (MCR)</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$460B</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$20.0B</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4.3%</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$15.0B</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$15.50</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-12.7%</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+Risk #2 (V28)</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$458B</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$22.1B</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4.8%</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$16.4B</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$16.50</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-7.0%</w:t>
            </w:r>
          </w:p>
        </w:tc>
      </w:tr>
      <w:tr>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+Risks #1+#2</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$456B</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$17.6B</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3.9%</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$13.6B</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$14.25</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-19.7%</w:t>
            </w:r>
          </w:p>
        </w:tc>
      </w:tr>
    </w:tbl>
    <w:p>
      <w:pPr>
        <w:spacing w:after="100"/>
      </w:pPr>
      <w:r>
        <w:rPr>
          <w:rFonts w:ascii="Calibri" w:cs="Calibri" w:eastAsia="Calibri" w:hAnsi="Calibri"/>
          <w:i/>
          <w:iCs/>
          <w:color w:val="666666"/>
          <w:sz w:val="18"/>
          <w:szCs w:val="18"/>
        </w:rPr>
        <w:t xml:space="preserve">Source: Stress test model; Quartr financial baseline; management 2026 guidance.</w:t>
      </w:r>
    </w:p>
    <w:p>
      <w:pPr>
        <w:spacing w:after="160"/>
        <w:jc w:val="both"/>
      </w:pPr>
      <w:r>
        <w:rPr>
          <w:rFonts w:ascii="Calibri" w:cs="Calibri" w:eastAsia="Calibri" w:hAnsi="Calibri"/>
          <w:color w:val="1A1A1A"/>
          <w:sz w:val="22"/>
          <w:szCs w:val="22"/>
        </w:rPr>
        <w:t xml:space="preserve">If both MCR deleverage and V28 mitigation failure occur simultaneously (probability ~15%), 2026 EPS misses guidance by 20%, likely triggering 15–20% stock repricing.</w:t>
      </w:r>
    </w:p>
    <w:p>
      <w:r>
        <w:br w:type="page"/>
      </w:r>
    </w:p>
    <w:p>
      <w:pPr>
        <w:pStyle w:val="Heading1"/>
        <w:spacing w:after="200" w:before="360"/>
      </w:pPr>
      <w:r>
        <w:rPr>
          <w:rFonts w:ascii="Calibri" w:cs="Calibri" w:eastAsia="Calibri" w:hAnsi="Calibri"/>
          <w:b/>
          <w:bCs/>
          <w:color w:val="1A1A1A"/>
          <w:sz w:val="32"/>
          <w:szCs w:val="32"/>
        </w:rPr>
        <w:t xml:space="preserve">7. Data Gaps and Disclosure Deficiencies</w:t>
      </w:r>
    </w:p>
    <w:p>
      <w:pPr>
        <w:spacing w:after="160"/>
        <w:jc w:val="both"/>
      </w:pPr>
      <w:r>
        <w:rPr>
          <w:rFonts w:ascii="Calibri" w:cs="Calibri" w:eastAsia="Calibri" w:hAnsi="Calibri"/>
          <w:color w:val="1A1A1A"/>
          <w:sz w:val="22"/>
          <w:szCs w:val="22"/>
        </w:rPr>
        <w:t xml:space="preserve">Several material data points are either not disclosed by management or not available from Quartr sources: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200"/>
        <w:gridCol w:w="3400"/>
        <w:gridCol w:w="3700"/>
      </w:tblGrid>
      <w:tr>
        <w:tc>
          <w:tcPr>
            <w:tcW w:type="dxa" w:w="2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Data Gap</w:t>
            </w:r>
          </w:p>
        </w:tc>
        <w:tc>
          <w:tcPr>
            <w:tcW w:type="dxa" w:w="3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Why It Matters</w:t>
            </w:r>
          </w:p>
        </w:tc>
        <w:tc>
          <w:tcPr>
            <w:tcW w:type="dxa" w:w="3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Workaround</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Optum Health operating margin</w:t>
            </w:r>
          </w:p>
        </w:tc>
        <w:tc>
          <w:tcPr>
            <w:tcW w:type="dxa" w:w="3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Cannot validate integration thesis</w:t>
            </w:r>
          </w:p>
        </w:tc>
        <w:tc>
          <w:tcPr>
            <w:tcW w:type="dxa" w:w="3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Imputed from segment data; est. 2–3%</w:t>
            </w:r>
          </w:p>
        </w:tc>
      </w:tr>
      <w:tr>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CAC by acquisition channel</w:t>
            </w:r>
          </w:p>
        </w:tc>
        <w:tc>
          <w:tcPr>
            <w:tcW w:type="dxa" w:w="3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Cannot assess member-level ROI</w:t>
            </w:r>
          </w:p>
        </w:tc>
        <w:tc>
          <w:tcPr>
            <w:tcW w:type="dxa" w:w="3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Derived from SGA allocation (Section 4)</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V28 mitigation specifics</w:t>
            </w:r>
          </w:p>
        </w:tc>
        <w:tc>
          <w:tcPr>
            <w:tcW w:type="dxa" w:w="3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Cannot assess offset probability</w:t>
            </w:r>
          </w:p>
        </w:tc>
        <w:tc>
          <w:tcPr>
            <w:tcW w:type="dxa" w:w="3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60% mitigation assumption per industry</w:t>
            </w:r>
          </w:p>
        </w:tc>
      </w:tr>
      <w:tr>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Cyber reserve details</w:t>
            </w:r>
          </w:p>
        </w:tc>
        <w:tc>
          <w:tcPr>
            <w:tcW w:type="dxa" w:w="3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Cannot assess tail risk magnitude</w:t>
            </w:r>
          </w:p>
        </w:tc>
        <w:tc>
          <w:tcPr>
            <w:tcW w:type="dxa" w:w="3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$800M additional charge assumption</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Segment-level capex</w:t>
            </w:r>
          </w:p>
        </w:tc>
        <w:tc>
          <w:tcPr>
            <w:tcW w:type="dxa" w:w="3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Cannot compute segment ROIC</w:t>
            </w:r>
          </w:p>
        </w:tc>
        <w:tc>
          <w:tcPr>
            <w:tcW w:type="dxa" w:w="3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Consolidated capex ratio applied</w:t>
            </w:r>
          </w:p>
        </w:tc>
      </w:tr>
      <w:tr>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2026 reclassified history</w:t>
            </w:r>
          </w:p>
        </w:tc>
        <w:tc>
          <w:tcPr>
            <w:tcW w:type="dxa" w:w="3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Cannot compare new segments</w:t>
            </w:r>
          </w:p>
        </w:tc>
        <w:tc>
          <w:tcPr>
            <w:tcW w:type="dxa" w:w="3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Flagged as forecasting risk</w:t>
            </w:r>
          </w:p>
        </w:tc>
      </w:tr>
    </w:tbl>
    <w:p>
      <w:pPr>
        <w:spacing w:after="100"/>
      </w:pPr>
      <w:r>
        <w:rPr>
          <w:rFonts w:ascii="Calibri" w:cs="Calibri" w:eastAsia="Calibri" w:hAnsi="Calibri"/>
          <w:i/>
          <w:iCs/>
          <w:color w:val="666666"/>
          <w:sz w:val="18"/>
          <w:szCs w:val="18"/>
        </w:rPr>
        <w:t xml:space="preserve">Source: Gap audit analysis; Quartr document review.</w:t>
      </w:r>
    </w:p>
    <w:p>
      <w:r>
        <w:br w:type="page"/>
      </w:r>
    </w:p>
    <w:p>
      <w:pPr>
        <w:pStyle w:val="Heading1"/>
        <w:spacing w:after="200" w:before="360"/>
      </w:pPr>
      <w:r>
        <w:rPr>
          <w:rFonts w:ascii="Calibri" w:cs="Calibri" w:eastAsia="Calibri" w:hAnsi="Calibri"/>
          <w:b/>
          <w:bCs/>
          <w:color w:val="1A1A1A"/>
          <w:sz w:val="32"/>
          <w:szCs w:val="32"/>
        </w:rPr>
        <w:t xml:space="preserve">8. Valuation</w:t>
      </w:r>
    </w:p>
    <w:p>
      <w:pPr>
        <w:pStyle w:val="Heading2"/>
        <w:spacing w:after="160" w:before="280"/>
      </w:pPr>
      <w:r>
        <w:rPr>
          <w:rFonts w:ascii="Calibri" w:cs="Calibri" w:eastAsia="Calibri" w:hAnsi="Calibri"/>
          <w:b/>
          <w:bCs/>
          <w:color w:val="006D6D"/>
          <w:sz w:val="26"/>
          <w:szCs w:val="26"/>
        </w:rPr>
        <w:t xml:space="preserve">8.1 Method 1: Discounted Cash Flow</w:t>
      </w:r>
    </w:p>
    <w:p>
      <w:pPr>
        <w:pStyle w:val="Heading3"/>
        <w:spacing w:after="120" w:before="200"/>
      </w:pPr>
      <w:r>
        <w:rPr>
          <w:rFonts w:ascii="Calibri" w:cs="Calibri" w:eastAsia="Calibri" w:hAnsi="Calibri"/>
          <w:b/>
          <w:bCs/>
          <w:color w:val="006D6D"/>
          <w:sz w:val="22"/>
          <w:szCs w:val="22"/>
        </w:rPr>
        <w:t xml:space="preserve">WACC Build-Up</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4300"/>
      </w:tblGrid>
      <w:tr>
        <w:tc>
          <w:tcPr>
            <w:tcW w:type="dxa" w:w="3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Component</w:t>
            </w:r>
          </w:p>
        </w:tc>
        <w:tc>
          <w:tcPr>
            <w:tcW w:type="dxa" w:w="18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Value</w:t>
            </w:r>
          </w:p>
        </w:tc>
        <w:tc>
          <w:tcPr>
            <w:tcW w:type="dxa" w:w="4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Source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Risk-Free Rate (10-yr UST)</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4.25%</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U.S. Treasury, March 2026</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Equity Risk Premium</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6.0%</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Standard; large-cap U.S.</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Size/Liquidity Premium</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0.5%</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Large cap, liquid stock</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Country Risk Premium</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0.0%</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U.S. domiciled</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Cost of Equity</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10.75%</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Sum of above</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After-Tax Cost of Debt</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3.8%</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~4.8% pre-tax at 21% rate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Debt / Total Capital</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Quartr balance sheet</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WACC</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9.0%</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Blended</w:t>
            </w:r>
          </w:p>
        </w:tc>
      </w:tr>
    </w:tbl>
    <w:p>
      <w:pPr>
        <w:spacing w:after="100"/>
      </w:pPr>
      <w:r>
        <w:rPr>
          <w:rFonts w:ascii="Calibri" w:cs="Calibri" w:eastAsia="Calibri" w:hAnsi="Calibri"/>
          <w:i/>
          <w:iCs/>
          <w:color w:val="666666"/>
          <w:sz w:val="18"/>
          <w:szCs w:val="18"/>
        </w:rPr>
        <w:t xml:space="preserve">Source: U.S. Treasury yield curve (March 2026); Quartr balance sheet for capital structure.</w:t>
      </w:r>
    </w:p>
    <w:p>
      <w:pPr>
        <w:pStyle w:val="Heading3"/>
        <w:spacing w:after="120" w:before="200"/>
      </w:pPr>
      <w:r>
        <w:rPr>
          <w:rFonts w:ascii="Calibri" w:cs="Calibri" w:eastAsia="Calibri" w:hAnsi="Calibri"/>
          <w:b/>
          <w:bCs/>
          <w:color w:val="006D6D"/>
          <w:sz w:val="22"/>
          <w:szCs w:val="22"/>
        </w:rPr>
        <w:t xml:space="preserve">FCF Projections</w:t>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1500"/>
        <w:gridCol w:w="1200"/>
        <w:gridCol w:w="1500"/>
        <w:gridCol w:w="1400"/>
      </w:tblGrid>
      <w:tr>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Year</w:t>
            </w:r>
          </w:p>
        </w:tc>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Revenue ($B)</w:t>
            </w:r>
          </w:p>
        </w:tc>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EBITDA ($B)</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Margin</w:t>
            </w:r>
          </w:p>
        </w:tc>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FCF ($B)</w:t>
            </w:r>
          </w:p>
        </w:tc>
        <w:tc>
          <w:tcPr>
            <w:tcW w:type="dxa" w:w="1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FCF Margin</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FY2026E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$440</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$37.0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8.4%</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$16.5</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3.8%</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FY2027E</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$462</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8.7%</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$18.5</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FY2028E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$485</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$43.5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9.0%</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$21.0</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4.3%</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FY2029E</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$505</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$46.5</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9.2%</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$23.0</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4.6%</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FY2030E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$525</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$49.5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9.4%</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$25.0</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4.8%</w:t>
            </w:r>
          </w:p>
        </w:tc>
      </w:tr>
    </w:tbl>
    <w:p>
      <w:pPr>
        <w:spacing w:after="100"/>
      </w:pPr>
      <w:r>
        <w:rPr>
          <w:rFonts w:ascii="Calibri" w:cs="Calibri" w:eastAsia="Calibri" w:hAnsi="Calibri"/>
          <w:i/>
          <w:iCs/>
          <w:color w:val="666666"/>
          <w:sz w:val="18"/>
          <w:szCs w:val="18"/>
        </w:rPr>
        <w:t xml:space="preserve">Source: Quartr FY2025 baseline; management 2026 guidance; 2027–2030 extrapolated at declining growth.</w:t>
      </w:r>
    </w:p>
    <w:p>
      <w:pPr>
        <w:spacing w:after="160"/>
        <w:jc w:val="both"/>
      </w:pPr>
      <w:r>
        <w:rPr>
          <w:rFonts w:ascii="Calibri" w:cs="Calibri" w:eastAsia="Calibri" w:hAnsi="Calibri"/>
          <w:color w:val="1A1A1A"/>
          <w:sz w:val="22"/>
          <w:szCs w:val="22"/>
        </w:rPr>
        <w:t xml:space="preserve">FCF conversion ratio: 90% for FY2026–2027 (restructuring costs still flowing), 95% for FY2028–2030 (normalized). Terminal growth rate: 3.0% (U.S. nominal GDP proxy).</w:t>
      </w:r>
    </w:p>
    <w:p>
      <w:pPr>
        <w:pStyle w:val="Heading3"/>
        <w:spacing w:after="120" w:before="200"/>
      </w:pPr>
      <w:r>
        <w:rPr>
          <w:rFonts w:ascii="Calibri" w:cs="Calibri" w:eastAsia="Calibri" w:hAnsi="Calibri"/>
          <w:b/>
          <w:bCs/>
          <w:color w:val="006D6D"/>
          <w:sz w:val="22"/>
          <w:szCs w:val="22"/>
        </w:rPr>
        <w:t xml:space="preserve">DCF Valuation</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5000"/>
        <w:gridCol w:w="4300"/>
      </w:tblGrid>
      <w:tr>
        <w:tc>
          <w:tcPr>
            <w:tcW w:type="dxa" w:w="5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Component</w:t>
            </w:r>
          </w:p>
        </w:tc>
        <w:tc>
          <w:tcPr>
            <w:tcW w:type="dxa" w:w="4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Value</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PV of Projected FCFs (2026–2030)</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$78.5B</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Terminal Value (FCF₂₀₃₀ / (WACC – g))</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$416.7B</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PV of Terminal Value</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$270.8B</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Enterprise Value</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$349.3B</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Less: Net Debt</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($26.2B)</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Less: Risk Discount (NPV of $4.5B/yr drag)</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($35.0B)</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Equity Value</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$288.1B</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Fully Diluted Shares</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920M</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Equity Value per Share</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$313</w:t>
            </w:r>
          </w:p>
        </w:tc>
      </w:tr>
    </w:tbl>
    <w:p>
      <w:pPr>
        <w:spacing w:after="100"/>
      </w:pPr>
      <w:r>
        <w:rPr>
          <w:rFonts w:ascii="Calibri" w:cs="Calibri" w:eastAsia="Calibri" w:hAnsi="Calibri"/>
          <w:i/>
          <w:iCs/>
          <w:color w:val="666666"/>
          <w:sz w:val="18"/>
          <w:szCs w:val="18"/>
        </w:rPr>
        <w:t xml:space="preserve">Risk discount = NPV of diversified risk budget ($4.5B/yr) at 9% WACC over 10 years.</w:t>
      </w:r>
    </w:p>
    <w:p>
      <w:pPr>
        <w:spacing w:after="160"/>
        <w:jc w:val="both"/>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Terminal value represents 77% of total enterprise value</w:t>
      </w:r>
      <w:r>
        <w:rPr>
          <w:rFonts w:ascii="Calibri" w:cs="Calibri" w:eastAsia="Calibri" w:hAnsi="Calibri"/>
          <w:color w:val="1A1A1A"/>
          <w:sz w:val="22"/>
          <w:szCs w:val="22"/>
        </w:rPr>
        <w:t xml:space="preserve">, flagging high execution-risk concentration.</w:t>
      </w:r>
    </w:p>
    <w:p>
      <w:pPr>
        <w:pStyle w:val="Heading3"/>
        <w:spacing w:after="120" w:before="200"/>
      </w:pPr>
      <w:r>
        <w:rPr>
          <w:rFonts w:ascii="Calibri" w:cs="Calibri" w:eastAsia="Calibri" w:hAnsi="Calibri"/>
          <w:b/>
          <w:bCs/>
          <w:color w:val="006D6D"/>
          <w:sz w:val="22"/>
          <w:szCs w:val="22"/>
        </w:rPr>
        <w:t xml:space="preserve">DCF Sensitivity Table (Equity Value per Share)</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400"/>
        <w:gridCol w:w="2300"/>
        <w:gridCol w:w="2300"/>
        <w:gridCol w:w="2300"/>
      </w:tblGrid>
      <w:tr>
        <w:tc>
          <w:tcPr>
            <w:tcW w:type="dxa" w:w="24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WACC \ Terminal Growth</w:t>
            </w:r>
          </w:p>
        </w:tc>
        <w:tc>
          <w:tcPr>
            <w:tcW w:type="dxa" w:w="2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2.0%</w:t>
            </w:r>
          </w:p>
        </w:tc>
        <w:tc>
          <w:tcPr>
            <w:tcW w:type="dxa" w:w="2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3.0% (Base)</w:t>
            </w:r>
          </w:p>
        </w:tc>
        <w:tc>
          <w:tcPr>
            <w:tcW w:type="dxa" w:w="2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4.0%</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8.0% (Low)</w:t>
            </w:r>
          </w:p>
        </w:tc>
        <w:tc>
          <w:tcPr>
            <w:tcW w:type="dxa" w:w="2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$365</w:t>
            </w:r>
          </w:p>
        </w:tc>
        <w:tc>
          <w:tcPr>
            <w:tcW w:type="dxa" w:w="2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$420</w:t>
            </w:r>
          </w:p>
        </w:tc>
        <w:tc>
          <w:tcPr>
            <w:tcW w:type="dxa" w:w="2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$505</w:t>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9.0% (Base)</w:t>
            </w:r>
          </w:p>
        </w:tc>
        <w:tc>
          <w:tcPr>
            <w:tcW w:type="dxa" w:w="2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$280</w:t>
            </w:r>
          </w:p>
        </w:tc>
        <w:tc>
          <w:tcPr>
            <w:tcW w:type="dxa" w:w="2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$313</w:t>
            </w:r>
          </w:p>
        </w:tc>
        <w:tc>
          <w:tcPr>
            <w:tcW w:type="dxa" w:w="2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$365</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10.0% (High)</w:t>
            </w:r>
          </w:p>
        </w:tc>
        <w:tc>
          <w:tcPr>
            <w:tcW w:type="dxa" w:w="2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$220</w:t>
            </w:r>
          </w:p>
        </w:tc>
        <w:tc>
          <w:tcPr>
            <w:tcW w:type="dxa" w:w="2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$243</w:t>
            </w:r>
          </w:p>
        </w:tc>
        <w:tc>
          <w:tcPr>
            <w:tcW w:type="dxa" w:w="2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$275</w:t>
            </w:r>
          </w:p>
        </w:tc>
      </w:tr>
    </w:tbl>
    <w:p>
      <w:pPr>
        <w:spacing w:after="100"/>
      </w:pPr>
      <w:r>
        <w:rPr>
          <w:rFonts w:ascii="Calibri" w:cs="Calibri" w:eastAsia="Calibri" w:hAnsi="Calibri"/>
          <w:i/>
          <w:iCs/>
          <w:color w:val="666666"/>
          <w:sz w:val="18"/>
          <w:szCs w:val="18"/>
        </w:rPr>
        <w:t xml:space="preserve">Current price of $259 is closest to the 9.0%/2.0% cell ($280). Source: DCF model.</w:t>
      </w:r>
    </w:p>
    <w:p>
      <w:pPr>
        <w:pStyle w:val="Heading2"/>
        <w:spacing w:after="160" w:before="280"/>
      </w:pPr>
      <w:r>
        <w:rPr>
          <w:rFonts w:ascii="Calibri" w:cs="Calibri" w:eastAsia="Calibri" w:hAnsi="Calibri"/>
          <w:b/>
          <w:bCs/>
          <w:color w:val="006D6D"/>
          <w:sz w:val="26"/>
          <w:szCs w:val="26"/>
        </w:rPr>
        <w:t xml:space="preserve">8.2 Method 2: Comparable Company Valuation</w:t>
      </w:r>
    </w:p>
    <w:tbl>
      <w:tblPr>
        <w:tblW w:type="dxa" w:w="7800"/>
        <w:tblBorders>
          <w:top w:val="single" w:color="auto" w:sz="4"/>
          <w:left w:val="single" w:color="auto" w:sz="4"/>
          <w:bottom w:val="single" w:color="auto" w:sz="4"/>
          <w:right w:val="single" w:color="auto" w:sz="4"/>
          <w:insideH w:val="single" w:color="auto" w:sz="4"/>
          <w:insideV w:val="single" w:color="auto" w:sz="4"/>
        </w:tblBorders>
      </w:tblPr>
      <w:tblGrid>
        <w:gridCol w:w="1600"/>
        <w:gridCol w:w="1100"/>
        <w:gridCol w:w="1000"/>
        <w:gridCol w:w="1000"/>
        <w:gridCol w:w="1100"/>
        <w:gridCol w:w="900"/>
        <w:gridCol w:w="1100"/>
      </w:tblGrid>
      <w:tr>
        <w:tc>
          <w:tcPr>
            <w:tcW w:type="dxa" w:w="16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Company</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Mkt Cap ($B)</w:t>
            </w:r>
          </w:p>
        </w:tc>
        <w:tc>
          <w:tcPr>
            <w:tcW w:type="dxa" w:w="1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EV ($B)</w:t>
            </w:r>
          </w:p>
        </w:tc>
        <w:tc>
          <w:tcPr>
            <w:tcW w:type="dxa" w:w="1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EV/Rev</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EV/EBITDA</w:t>
            </w:r>
          </w:p>
        </w:tc>
        <w:tc>
          <w:tcPr>
            <w:tcW w:type="dxa" w:w="9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Rev Gr</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EBITDA Mg</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Elevance Health</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$95</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$115</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0.7x</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9.5x</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5.8%</w:t>
            </w:r>
          </w:p>
        </w:tc>
      </w:tr>
      <w:tr>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Cigna Group</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0.5x</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8.5x</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Humana</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$28</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$38</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0.3x</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7.0x</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w:t>
            </w:r>
          </w:p>
        </w:tc>
      </w:tr>
      <w:tr>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Centene</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$52</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0.3x</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7.5x</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Molina Healthcare</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0.6x</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10.0x</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w:t>
            </w:r>
          </w:p>
        </w:tc>
      </w:tr>
      <w:tr>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Peer Median</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0.5x</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8.5x</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UNH (Current)</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$240</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$266</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0.6x</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7.3x</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8.1%</w:t>
            </w:r>
          </w:p>
        </w:tc>
      </w:tr>
    </w:tbl>
    <w:p>
      <w:pPr>
        <w:spacing w:after="100"/>
      </w:pPr>
      <w:r>
        <w:rPr>
          <w:rFonts w:ascii="Calibri" w:cs="Calibri" w:eastAsia="Calibri" w:hAnsi="Calibri"/>
          <w:i/>
          <w:iCs/>
          <w:color w:val="666666"/>
          <w:sz w:val="18"/>
          <w:szCs w:val="18"/>
        </w:rPr>
        <w:t xml:space="preserve">Source: Public market data, March 2026. Trailing twelve months.</w:t>
      </w:r>
    </w:p>
    <w:p>
      <w:pPr>
        <w:spacing w:after="160"/>
        <w:jc w:val="both"/>
      </w:pPr>
      <w:r>
        <w:rPr>
          <w:rFonts w:ascii="Calibri" w:cs="Calibri" w:eastAsia="Calibri" w:hAnsi="Calibri"/>
          <w:color w:val="1A1A1A"/>
          <w:sz w:val="22"/>
          <w:szCs w:val="22"/>
        </w:rPr>
        <w:t xml:space="preserve">UNH trades at a premium on EV/Revenue (0.6x vs. 0.5x median) but discount on EV/EBITDA (7.3x vs. 8.5x), reflecting market skepticism about margin sustainability. Applying peer median 8.5x to UNH’s trailing EBITDA of $36.4B implies EV of $309B. After net debt and 920M shares: </w:t>
      </w:r>
      <w:r>
        <w:rPr>
          <w:rFonts w:ascii="Calibri" w:cs="Calibri" w:eastAsia="Calibri" w:hAnsi="Calibri"/>
          <w:b/>
          <w:bCs/>
          <w:color w:val="1A1A1A"/>
          <w:sz w:val="22"/>
          <w:szCs w:val="22"/>
        </w:rPr>
        <w:t xml:space="preserve">$307 per share</w:t>
      </w:r>
      <w:r>
        <w:rPr>
          <w:rFonts w:ascii="Calibri" w:cs="Calibri" w:eastAsia="Calibri" w:hAnsi="Calibri"/>
          <w:color w:val="1A1A1A"/>
          <w:sz w:val="22"/>
          <w:szCs w:val="22"/>
        </w:rPr>
        <w:t xml:space="preserve">. With a 20% margin discount (margins under pressure): </w:t>
      </w:r>
      <w:r>
        <w:rPr>
          <w:rFonts w:ascii="Calibri" w:cs="Calibri" w:eastAsia="Calibri" w:hAnsi="Calibri"/>
          <w:b/>
          <w:bCs/>
          <w:color w:val="1A1A1A"/>
          <w:sz w:val="22"/>
          <w:szCs w:val="22"/>
        </w:rPr>
        <w:t xml:space="preserve">$255 per share</w:t>
      </w:r>
      <w:r>
        <w:rPr>
          <w:rFonts w:ascii="Calibri" w:cs="Calibri" w:eastAsia="Calibri" w:hAnsi="Calibri"/>
          <w:color w:val="1A1A1A"/>
          <w:sz w:val="22"/>
          <w:szCs w:val="22"/>
        </w:rPr>
        <w:t xml:space="preserve">. Range: </w:t>
      </w:r>
      <w:r>
        <w:rPr>
          <w:rFonts w:ascii="Calibri" w:cs="Calibri" w:eastAsia="Calibri" w:hAnsi="Calibri"/>
          <w:b/>
          <w:bCs/>
          <w:color w:val="1A1A1A"/>
          <w:sz w:val="22"/>
          <w:szCs w:val="22"/>
        </w:rPr>
        <w:t xml:space="preserve">$220–$370</w:t>
      </w:r>
      <w:r>
        <w:rPr>
          <w:rFonts w:ascii="Calibri" w:cs="Calibri" w:eastAsia="Calibri" w:hAnsi="Calibri"/>
          <w:color w:val="1A1A1A"/>
          <w:sz w:val="22"/>
          <w:szCs w:val="22"/>
        </w:rPr>
        <w:t xml:space="preserve">.</w:t>
      </w:r>
    </w:p>
    <w:p>
      <w:pPr>
        <w:pStyle w:val="Heading2"/>
        <w:spacing w:after="160" w:before="280"/>
      </w:pPr>
      <w:r>
        <w:rPr>
          <w:rFonts w:ascii="Calibri" w:cs="Calibri" w:eastAsia="Calibri" w:hAnsi="Calibri"/>
          <w:b/>
          <w:bCs/>
          <w:color w:val="006D6D"/>
          <w:sz w:val="26"/>
          <w:szCs w:val="26"/>
        </w:rPr>
        <w:t xml:space="preserve">8.3 Method 3: Reverse DCF</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5000"/>
        <w:gridCol w:w="4300"/>
      </w:tblGrid>
      <w:tr>
        <w:tc>
          <w:tcPr>
            <w:tcW w:type="dxa" w:w="5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Component</w:t>
            </w:r>
          </w:p>
        </w:tc>
        <w:tc>
          <w:tcPr>
            <w:tcW w:type="dxa" w:w="4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Implied Value</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Current Price × 920M shares</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$238.3B market cap</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 Net Debt</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$26.2B</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 Implied Enterprise Value</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$264.5B</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Implied Steady-State FCF</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$15.9B</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Implied EBITDA Margin</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5.2%</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Implied Revenue Growth</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 perpetuity</w:t>
            </w:r>
          </w:p>
        </w:tc>
      </w:tr>
    </w:tbl>
    <w:p>
      <w:pPr>
        <w:spacing w:after="100"/>
      </w:pPr>
      <w:r>
        <w:rPr>
          <w:rFonts w:ascii="Calibri" w:cs="Calibri" w:eastAsia="Calibri" w:hAnsi="Calibri"/>
          <w:i/>
          <w:iCs/>
          <w:color w:val="666666"/>
          <w:sz w:val="18"/>
          <w:szCs w:val="18"/>
        </w:rPr>
        <w:t xml:space="preserve">Source: Reverse DCF at 9.0% WACC, 3.0% terminal growth.</w:t>
      </w:r>
    </w:p>
    <w:p>
      <w:pPr>
        <w:spacing w:after="160"/>
        <w:jc w:val="both"/>
      </w:pPr>
      <w:r>
        <w:rPr>
          <w:rFonts w:ascii="Calibri" w:cs="Calibri" w:eastAsia="Calibri" w:hAnsi="Calibri"/>
          <w:color w:val="1A1A1A"/>
          <w:sz w:val="22"/>
          <w:szCs w:val="22"/>
        </w:rPr>
        <w:t xml:space="preserve">The market implies flat FCF (~$16B), EBITDA margin of 5.2% (well below 8.1% achieved), and low-single-digit growth. This is unusually pessimistic. For the market’s scenario to hold, </w:t>
      </w:r>
      <w:r>
        <w:rPr>
          <w:rFonts w:ascii="Calibri" w:cs="Calibri" w:eastAsia="Calibri" w:hAnsi="Calibri"/>
          <w:b/>
          <w:bCs/>
          <w:color w:val="1A1A1A"/>
          <w:sz w:val="22"/>
          <w:szCs w:val="22"/>
        </w:rPr>
        <w:t xml:space="preserve">three independent conditions must hold simultaneously</w:t>
      </w:r>
      <w:r>
        <w:rPr>
          <w:rFonts w:ascii="Calibri" w:cs="Calibri" w:eastAsia="Calibri" w:hAnsi="Calibri"/>
          <w:color w:val="1A1A1A"/>
          <w:sz w:val="22"/>
          <w:szCs w:val="22"/>
        </w:rPr>
        <w:t xml:space="preserve">: MCR does not improve, restructuring savings don’t materialize, and membership contraction is not offset by mix improvement. We assess this as a bear case, not a base case.</w:t>
      </w:r>
    </w:p>
    <w:p>
      <w:pPr>
        <w:pStyle w:val="Heading2"/>
        <w:spacing w:after="160" w:before="280"/>
      </w:pPr>
      <w:r>
        <w:rPr>
          <w:rFonts w:ascii="Calibri" w:cs="Calibri" w:eastAsia="Calibri" w:hAnsi="Calibri"/>
          <w:b/>
          <w:bCs/>
          <w:color w:val="006D6D"/>
          <w:sz w:val="26"/>
          <w:szCs w:val="26"/>
        </w:rPr>
        <w:t xml:space="preserve">8.4 Valuation Summary</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5000"/>
        <w:gridCol w:w="4300"/>
      </w:tblGrid>
      <w:tr>
        <w:tc>
          <w:tcPr>
            <w:tcW w:type="dxa" w:w="5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Method</w:t>
            </w:r>
          </w:p>
        </w:tc>
        <w:tc>
          <w:tcPr>
            <w:tcW w:type="dxa" w:w="4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Implied Value per Share</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DCF Base (post risk discount)</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$313</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DCF Bull (8% WACC, 4% TG)</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$505</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DCF Bear (10% WACC, 2% TG)</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$220</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Comps Median (margin-adjusted)</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$255</w:t>
            </w:r>
          </w:p>
        </w:tc>
      </w:tr>
      <w:tr>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Comps Range</w:t>
            </w:r>
          </w:p>
        </w:tc>
        <w:tc>
          <w:tcPr>
            <w:tcW w:type="dxa" w:w="4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$220–$370</w:t>
            </w:r>
          </w:p>
        </w:tc>
      </w:tr>
      <w:tr>
        <w:tc>
          <w:tcPr>
            <w:tcW w:type="dxa" w:w="5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Reverse DCF</w:t>
            </w:r>
          </w:p>
        </w:tc>
        <w:tc>
          <w:tcPr>
            <w:tcW w:type="dxa" w:w="4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Bear case priced in</w:t>
            </w:r>
          </w:p>
        </w:tc>
      </w:tr>
    </w:tbl>
    <w:p>
      <w:pPr>
        <w:spacing w:after="160"/>
        <w:jc w:val="both"/>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Fair value range: $280–$370</w:t>
      </w:r>
      <w:r>
        <w:rPr>
          <w:rFonts w:ascii="Calibri" w:cs="Calibri" w:eastAsia="Calibri" w:hAnsi="Calibri"/>
          <w:color w:val="1A1A1A"/>
          <w:sz w:val="22"/>
          <w:szCs w:val="22"/>
        </w:rPr>
        <w:t xml:space="preserve">, anchored by DCF base of $313, bounded by bear DCF ($220) and bull DCF ($505), cross-checked against comps ($220–$370). Risk-adjusted midpoint: $313, approximately 21% above current price.</w:t>
      </w:r>
    </w:p>
    <w:p>
      <w:r>
        <w:br w:type="page"/>
      </w:r>
    </w:p>
    <w:p>
      <w:pPr>
        <w:pStyle w:val="Heading1"/>
        <w:spacing w:after="200" w:before="360"/>
      </w:pPr>
      <w:r>
        <w:rPr>
          <w:rFonts w:ascii="Calibri" w:cs="Calibri" w:eastAsia="Calibri" w:hAnsi="Calibri"/>
          <w:b/>
          <w:bCs/>
          <w:color w:val="1A1A1A"/>
          <w:sz w:val="32"/>
          <w:szCs w:val="32"/>
        </w:rPr>
        <w:t xml:space="preserve">9. Consensus vs. Variant Perception</w:t>
      </w:r>
    </w:p>
    <w:p>
      <w:pPr>
        <w:pStyle w:val="Heading2"/>
        <w:spacing w:after="160" w:before="280"/>
      </w:pPr>
      <w:r>
        <w:rPr>
          <w:rFonts w:ascii="Calibri" w:cs="Calibri" w:eastAsia="Calibri" w:hAnsi="Calibri"/>
          <w:b/>
          <w:bCs/>
          <w:color w:val="006D6D"/>
          <w:sz w:val="26"/>
          <w:szCs w:val="26"/>
        </w:rPr>
        <w:t xml:space="preserve">9.1 Reverse DCF — Implied Consensus View</w:t>
      </w:r>
    </w:p>
    <w:p>
      <w:pPr>
        <w:spacing w:after="160"/>
        <w:jc w:val="both"/>
      </w:pPr>
      <w:r>
        <w:rPr>
          <w:rFonts w:ascii="Calibri" w:cs="Calibri" w:eastAsia="Calibri" w:hAnsi="Calibri"/>
          <w:color w:val="1A1A1A"/>
          <w:sz w:val="22"/>
          <w:szCs w:val="22"/>
        </w:rPr>
        <w:t xml:space="preserve">The reverse DCF shows the market pricing UNH for a bear case: flat FCF, margin compression, low growth. Street consensus targets $17.75+ EPS in 2026 with recovery in 2027–2028. The gap between market pricing and analyst consensus creates the variant opportunity—if consensus is right, the stock is undervalued; if the market is right, the stock is fairly valued at best.</w:t>
      </w:r>
    </w:p>
    <w:p>
      <w:pPr>
        <w:pStyle w:val="Heading2"/>
        <w:spacing w:after="160" w:before="280"/>
      </w:pPr>
      <w:r>
        <w:rPr>
          <w:rFonts w:ascii="Calibri" w:cs="Calibri" w:eastAsia="Calibri" w:hAnsi="Calibri"/>
          <w:b/>
          <w:bCs/>
          <w:color w:val="006D6D"/>
          <w:sz w:val="26"/>
          <w:szCs w:val="26"/>
        </w:rPr>
        <w:t xml:space="preserve">9.2 Variant Thesis A: Medical Cost Inflation is Structural</w:t>
      </w:r>
    </w:p>
    <w:p>
      <w:pPr>
        <w:spacing w:after="160"/>
      </w:pPr>
      <w:r>
        <w:rPr>
          <w:rFonts w:ascii="Calibri" w:cs="Calibri" w:eastAsia="Calibri" w:hAnsi="Calibri"/>
          <w:b/>
          <w:bCs/>
          <w:color w:val="1A1A1A"/>
          <w:sz w:val="22"/>
          <w:szCs w:val="22"/>
        </w:rPr>
        <w:t xml:space="preserve">Consensus Belief:</w:t>
      </w:r>
    </w:p>
    <w:p>
      <w:pPr>
        <w:spacing w:after="160"/>
        <w:jc w:val="both"/>
      </w:pPr>
      <w:r>
        <w:rPr>
          <w:rFonts w:ascii="Calibri" w:cs="Calibri" w:eastAsia="Calibri" w:hAnsi="Calibri"/>
          <w:color w:val="1A1A1A"/>
          <w:sz w:val="22"/>
          <w:szCs w:val="22"/>
        </w:rPr>
        <w:t xml:space="preserve">The 360 bps MCR deterioration in FY2025 is post-pandemic normalization. Medical cost trend returns to 3%. MCR stabilizes at 88.8% in 2026, improves thereafter.</w:t>
      </w:r>
    </w:p>
    <w:p>
      <w:pPr>
        <w:spacing w:after="160"/>
      </w:pPr>
      <w:r>
        <w:rPr>
          <w:rFonts w:ascii="Calibri" w:cs="Calibri" w:eastAsia="Calibri" w:hAnsi="Calibri"/>
          <w:b/>
          <w:bCs/>
          <w:color w:val="1A1A1A"/>
          <w:sz w:val="22"/>
          <w:szCs w:val="22"/>
        </w:rPr>
        <w:t xml:space="preserve">Variant Evidence:</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Labor cost inflation:</w:t>
      </w:r>
      <w:r>
        <w:rPr>
          <w:rFonts w:ascii="Calibri" w:cs="Calibri" w:eastAsia="Calibri" w:hAnsi="Calibri"/>
          <w:color w:val="1A1A1A"/>
          <w:sz w:val="22"/>
          <w:szCs w:val="22"/>
        </w:rPr>
        <w:t xml:space="preserve"> U.S. nursing wage inflation 5–7% annually (BLS 2024–2025). Structural (demographic shortage). Hospitals pass 60–70% to insurers.</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Specialty pharma:</w:t>
      </w:r>
      <w:r>
        <w:rPr>
          <w:rFonts w:ascii="Calibri" w:cs="Calibri" w:eastAsia="Calibri" w:hAnsi="Calibri"/>
          <w:color w:val="1A1A1A"/>
          <w:sz w:val="22"/>
          <w:szCs w:val="22"/>
        </w:rPr>
        <w:t xml:space="preserve"> GLP-1s, CAR-T therapies, oncology agents increasing 8–12% annually. CMS pricing power limited.</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Behavioral health utilization:</w:t>
      </w:r>
      <w:r>
        <w:rPr>
          <w:rFonts w:ascii="Calibri" w:cs="Calibri" w:eastAsia="Calibri" w:hAnsi="Calibri"/>
          <w:color w:val="1A1A1A"/>
          <w:sz w:val="22"/>
          <w:szCs w:val="22"/>
        </w:rPr>
        <w:t xml:space="preserve"> Mental health claims +15–20% YoY post-COVID. Durable shift, not cyclical.</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Quantification:</w:t>
      </w:r>
      <w:r>
        <w:rPr>
          <w:rFonts w:ascii="Calibri" w:cs="Calibri" w:eastAsia="Calibri" w:hAnsi="Calibri"/>
          <w:color w:val="1A1A1A"/>
          <w:sz w:val="22"/>
          <w:szCs w:val="22"/>
        </w:rPr>
        <w:t xml:space="preserve"> Medical cost inflation of 5–6% (vs. management 2–3%) with 2–3% premium increases = MCR expands 200–300 bps cumulatively in 2026–2028.</w:t>
      </w:r>
    </w:p>
    <w:p>
      <w:pPr>
        <w:spacing w:after="100"/>
      </w:pPr>
      <w:r>
        <w:rPr>
          <w:rFonts w:ascii="Calibri" w:cs="Calibri" w:eastAsia="Calibri" w:hAnsi="Calibri"/>
          <w:i/>
          <w:iCs/>
          <w:color w:val="666666"/>
          <w:sz w:val="18"/>
          <w:szCs w:val="18"/>
        </w:rPr>
        <w:t xml:space="preserve">Source: Bureau of Labor Statistics; CMS cost trend data; Quartr — Q4 2025 Earnings Call.</w:t>
      </w:r>
    </w:p>
    <w:p>
      <w:pPr>
        <w:pStyle w:val="Heading2"/>
        <w:spacing w:after="160" w:before="280"/>
      </w:pPr>
      <w:r>
        <w:rPr>
          <w:rFonts w:ascii="Calibri" w:cs="Calibri" w:eastAsia="Calibri" w:hAnsi="Calibri"/>
          <w:b/>
          <w:bCs/>
          <w:color w:val="006D6D"/>
          <w:sz w:val="26"/>
          <w:szCs w:val="26"/>
        </w:rPr>
        <w:t xml:space="preserve">9.3 Variant Thesis B: Optum Health Integration Not Delivering</w:t>
      </w:r>
    </w:p>
    <w:p>
      <w:pPr>
        <w:spacing w:after="160"/>
      </w:pPr>
      <w:r>
        <w:rPr>
          <w:rFonts w:ascii="Calibri" w:cs="Calibri" w:eastAsia="Calibri" w:hAnsi="Calibri"/>
          <w:b/>
          <w:bCs/>
          <w:color w:val="1A1A1A"/>
          <w:sz w:val="22"/>
          <w:szCs w:val="22"/>
        </w:rPr>
        <w:t xml:space="preserve">Consensus Belief:</w:t>
      </w:r>
    </w:p>
    <w:p>
      <w:pPr>
        <w:spacing w:after="160"/>
        <w:jc w:val="both"/>
      </w:pPr>
      <w:r>
        <w:rPr>
          <w:rFonts w:ascii="Calibri" w:cs="Calibri" w:eastAsia="Calibri" w:hAnsi="Calibri"/>
          <w:color w:val="1A1A1A"/>
          <w:sz w:val="22"/>
          <w:szCs w:val="22"/>
        </w:rPr>
        <w:t xml:space="preserve">Optum Health is a strategic asset. Care coordination reduces medical costs, improves retention, justifies premium valuation.</w:t>
      </w:r>
    </w:p>
    <w:p>
      <w:pPr>
        <w:spacing w:after="160"/>
      </w:pPr>
      <w:r>
        <w:rPr>
          <w:rFonts w:ascii="Calibri" w:cs="Calibri" w:eastAsia="Calibri" w:hAnsi="Calibri"/>
          <w:b/>
          <w:bCs/>
          <w:color w:val="1A1A1A"/>
          <w:sz w:val="22"/>
          <w:szCs w:val="22"/>
        </w:rPr>
        <w:t xml:space="preserve">Variant Evidence:</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Revenue decline:</w:t>
      </w:r>
      <w:r>
        <w:rPr>
          <w:rFonts w:ascii="Calibri" w:cs="Calibri" w:eastAsia="Calibri" w:hAnsi="Calibri"/>
          <w:color w:val="1A1A1A"/>
          <w:sz w:val="22"/>
          <w:szCs w:val="22"/>
        </w:rPr>
        <w:t xml:space="preserve"> Optum Health -3% in FY2025 while UHC and Optum Rx both +16%. The “moat driver” is shrinking.</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Margin opacity:</w:t>
      </w:r>
      <w:r>
        <w:rPr>
          <w:rFonts w:ascii="Calibri" w:cs="Calibri" w:eastAsia="Calibri" w:hAnsi="Calibri"/>
          <w:color w:val="1A1A1A"/>
          <w:sz w:val="22"/>
          <w:szCs w:val="22"/>
        </w:rPr>
        <w:t xml:space="preserve"> Management does not disclose Optum Health operating margin. If healthy, they would highlight it.</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Synergy contradiction:</w:t>
      </w:r>
      <w:r>
        <w:rPr>
          <w:rFonts w:ascii="Calibri" w:cs="Calibri" w:eastAsia="Calibri" w:hAnsi="Calibri"/>
          <w:color w:val="1A1A1A"/>
          <w:sz w:val="22"/>
          <w:szCs w:val="22"/>
        </w:rPr>
        <w:t xml:space="preserve"> MCR expanded 360 bps while Optum Health investments increased. Integration adding cost, not removing it.</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Peer comparison:</w:t>
      </w:r>
      <w:r>
        <w:rPr>
          <w:rFonts w:ascii="Calibri" w:cs="Calibri" w:eastAsia="Calibri" w:hAnsi="Calibri"/>
          <w:color w:val="1A1A1A"/>
          <w:sz w:val="22"/>
          <w:szCs w:val="22"/>
        </w:rPr>
        <w:t xml:space="preserve"> Pure-play payers at 85–87% MCR with lower SG&amp;A. UNH at 89.1% MCR + higher costs. No MCR advantage.</w:t>
      </w:r>
    </w:p>
    <w:p>
      <w:pPr>
        <w:pStyle w:val="Heading2"/>
        <w:spacing w:after="160" w:before="280"/>
      </w:pPr>
      <w:r>
        <w:rPr>
          <w:rFonts w:ascii="Calibri" w:cs="Calibri" w:eastAsia="Calibri" w:hAnsi="Calibri"/>
          <w:b/>
          <w:bCs/>
          <w:color w:val="006D6D"/>
          <w:sz w:val="26"/>
          <w:szCs w:val="26"/>
        </w:rPr>
        <w:t xml:space="preserve">9.4 Variant Thesis C: Regulatory Risk is Existential</w:t>
      </w:r>
    </w:p>
    <w:p>
      <w:pPr>
        <w:spacing w:after="160"/>
      </w:pPr>
      <w:r>
        <w:rPr>
          <w:rFonts w:ascii="Calibri" w:cs="Calibri" w:eastAsia="Calibri" w:hAnsi="Calibri"/>
          <w:b/>
          <w:bCs/>
          <w:color w:val="1A1A1A"/>
          <w:sz w:val="22"/>
          <w:szCs w:val="22"/>
        </w:rPr>
        <w:t xml:space="preserve">Consensus Belief:</w:t>
      </w:r>
    </w:p>
    <w:p>
      <w:pPr>
        <w:spacing w:after="160"/>
        <w:jc w:val="both"/>
      </w:pPr>
      <w:r>
        <w:rPr>
          <w:rFonts w:ascii="Calibri" w:cs="Calibri" w:eastAsia="Calibri" w:hAnsi="Calibri"/>
          <w:color w:val="1A1A1A"/>
          <w:sz w:val="22"/>
          <w:szCs w:val="22"/>
        </w:rPr>
        <w:t xml:space="preserve">DOJ review manageable; no forced divestitures. Integrated model more efficient, not anti-competitive.</w:t>
      </w:r>
    </w:p>
    <w:p>
      <w:pPr>
        <w:spacing w:after="160"/>
      </w:pPr>
      <w:r>
        <w:rPr>
          <w:rFonts w:ascii="Calibri" w:cs="Calibri" w:eastAsia="Calibri" w:hAnsi="Calibri"/>
          <w:b/>
          <w:bCs/>
          <w:color w:val="1A1A1A"/>
          <w:sz w:val="22"/>
          <w:szCs w:val="22"/>
        </w:rPr>
        <w:t xml:space="preserve">Variant Evidence:</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Cyberattack precedent:</w:t>
      </w:r>
      <w:r>
        <w:rPr>
          <w:rFonts w:ascii="Calibri" w:cs="Calibri" w:eastAsia="Calibri" w:hAnsi="Calibri"/>
          <w:color w:val="1A1A1A"/>
          <w:sz w:val="22"/>
          <w:szCs w:val="22"/>
        </w:rPr>
        <w:t xml:space="preserve"> 100M+ member breach is systemic concentration risk. Regulatory catalyst.</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Political pressure:</w:t>
      </w:r>
      <w:r>
        <w:rPr>
          <w:rFonts w:ascii="Calibri" w:cs="Calibri" w:eastAsia="Calibri" w:hAnsi="Calibri"/>
          <w:color w:val="1A1A1A"/>
          <w:sz w:val="22"/>
          <w:szCs w:val="22"/>
        </w:rPr>
        <w:t xml:space="preserve"> FTC enforcement against vertical integration accelerating. Forced separation probability: 10–15%.</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Quantification:</w:t>
      </w:r>
      <w:r>
        <w:rPr>
          <w:rFonts w:ascii="Calibri" w:cs="Calibri" w:eastAsia="Calibri" w:hAnsi="Calibri"/>
          <w:color w:val="1A1A1A"/>
          <w:sz w:val="22"/>
          <w:szCs w:val="22"/>
        </w:rPr>
        <w:t xml:space="preserve"> Divesting Optum Insight or Optum Rx reduces operating income $3–6B. Stock reprices 15–25% lower.</w:t>
      </w:r>
    </w:p>
    <w:p>
      <w:pPr>
        <w:pStyle w:val="Heading2"/>
        <w:spacing w:after="160" w:before="280"/>
      </w:pPr>
      <w:r>
        <w:rPr>
          <w:rFonts w:ascii="Calibri" w:cs="Calibri" w:eastAsia="Calibri" w:hAnsi="Calibri"/>
          <w:b/>
          <w:bCs/>
          <w:color w:val="006D6D"/>
          <w:sz w:val="26"/>
          <w:szCs w:val="26"/>
        </w:rPr>
        <w:t xml:space="preserve">9.5 Falsification Framework</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1700"/>
        <w:gridCol w:w="3600"/>
      </w:tblGrid>
      <w:tr>
        <w:tc>
          <w:tcPr>
            <w:tcW w:type="dxa" w:w="2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Thesis</w:t>
            </w:r>
          </w:p>
        </w:tc>
        <w:tc>
          <w:tcPr>
            <w:tcW w:type="dxa" w:w="2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Metric</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Date</w:t>
            </w:r>
          </w:p>
        </w:tc>
        <w:tc>
          <w:tcPr>
            <w:tcW w:type="dxa" w:w="36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Trigger</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Medical Cost</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Q1 2026 MCR</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Apr 22, 2026</w:t>
            </w:r>
          </w:p>
        </w:tc>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MCR &gt;89.3% = prob &gt;50%</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Optum Inefficiency</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OH margin</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Apr 22, 2026</w:t>
            </w:r>
          </w:p>
        </w:tc>
        <w:tc>
          <w:tcPr>
            <w:tcW w:type="dxa" w:w="3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Margin &lt;2% = challenged</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Regulatory</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DOJ/FTC action</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Q3–Q4 2026</w:t>
            </w:r>
          </w:p>
        </w:tc>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Complaint = 15–25% downside</w:t>
            </w:r>
          </w:p>
        </w:tc>
      </w:tr>
    </w:tbl>
    <w:p>
      <w:pPr>
        <w:spacing w:after="100"/>
      </w:pPr>
      <w:r>
        <w:rPr>
          <w:rFonts w:ascii="Calibri" w:cs="Calibri" w:eastAsia="Calibri" w:hAnsi="Calibri"/>
          <w:i/>
          <w:iCs/>
          <w:color w:val="666666"/>
          <w:sz w:val="18"/>
          <w:szCs w:val="18"/>
        </w:rPr>
        <w:t xml:space="preserve">Source: Analysis framework; dates from UNH earnings calendar.</w:t>
      </w:r>
    </w:p>
    <w:p>
      <w:pPr>
        <w:pStyle w:val="Heading2"/>
        <w:spacing w:after="160" w:before="280"/>
      </w:pPr>
      <w:r>
        <w:rPr>
          <w:rFonts w:ascii="Calibri" w:cs="Calibri" w:eastAsia="Calibri" w:hAnsi="Calibri"/>
          <w:b/>
          <w:bCs/>
          <w:color w:val="006D6D"/>
          <w:sz w:val="26"/>
          <w:szCs w:val="26"/>
        </w:rPr>
        <w:t xml:space="preserve">9.6 Valuation Impact of Variant</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1700"/>
        <w:gridCol w:w="3000"/>
      </w:tblGrid>
      <w:tr>
        <w:tc>
          <w:tcPr>
            <w:tcW w:type="dxa" w:w="26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Scenario</w:t>
            </w:r>
          </w:p>
        </w:tc>
        <w:tc>
          <w:tcPr>
            <w:tcW w:type="dxa" w:w="2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FY2026 EPS</w:t>
            </w:r>
          </w:p>
        </w:tc>
        <w:tc>
          <w:tcPr>
            <w:tcW w:type="dxa" w:w="17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P/E</w:t>
            </w:r>
          </w:p>
        </w:tc>
        <w:tc>
          <w:tcPr>
            <w:tcW w:type="dxa" w:w="30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Fair Value</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Consensus (Bull)</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$18.50</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26x</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$481</w:t>
            </w:r>
          </w:p>
        </w:tc>
      </w:tr>
      <w:tr>
        <w:tc>
          <w:tcPr>
            <w:tcW w:type="dxa" w:w="2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Base Case</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$17.75</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24x</w:t>
            </w:r>
          </w:p>
        </w:tc>
        <w:tc>
          <w:tcPr>
            <w:tcW w:type="dxa" w:w="3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$426</w:t>
            </w:r>
          </w:p>
        </w:tc>
      </w:tr>
      <w:tr>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Variant (MCR miss)</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$16.00</w:t>
            </w: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20x</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$320</w:t>
            </w:r>
          </w:p>
        </w:tc>
      </w:tr>
      <w:tr>
        <w:tc>
          <w:tcPr>
            <w:tcW w:type="dxa" w:w="2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Severe (+ Divestiture)</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$14.50</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18x</w:t>
            </w:r>
          </w:p>
        </w:tc>
        <w:tc>
          <w:tcPr>
            <w:tcW w:type="dxa" w:w="3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$261</w:t>
            </w:r>
          </w:p>
        </w:tc>
      </w:tr>
    </w:tbl>
    <w:p>
      <w:pPr>
        <w:spacing w:after="100"/>
      </w:pPr>
      <w:r>
        <w:rPr>
          <w:rFonts w:ascii="Calibri" w:cs="Calibri" w:eastAsia="Calibri" w:hAnsi="Calibri"/>
          <w:i/>
          <w:iCs/>
          <w:color w:val="666666"/>
          <w:sz w:val="18"/>
          <w:szCs w:val="18"/>
        </w:rPr>
        <w:t xml:space="preserve">Source: Scenario analysis based on Quartr data and variant thesis framework.</w:t>
      </w:r>
    </w:p>
    <w:p>
      <w:r>
        <w:br w:type="page"/>
      </w:r>
    </w:p>
    <w:p>
      <w:pPr>
        <w:pStyle w:val="Heading1"/>
        <w:spacing w:after="200" w:before="360"/>
      </w:pPr>
      <w:r>
        <w:rPr>
          <w:rFonts w:ascii="Calibri" w:cs="Calibri" w:eastAsia="Calibri" w:hAnsi="Calibri"/>
          <w:b/>
          <w:bCs/>
          <w:color w:val="1A1A1A"/>
          <w:sz w:val="32"/>
          <w:szCs w:val="32"/>
        </w:rPr>
        <w:t xml:space="preserve">10. Investment Recommendation</w:t>
      </w:r>
    </w:p>
    <w:p>
      <w:pPr>
        <w:pStyle w:val="Heading2"/>
        <w:spacing w:after="160" w:before="280"/>
      </w:pPr>
      <w:r>
        <w:rPr>
          <w:rFonts w:ascii="Calibri" w:cs="Calibri" w:eastAsia="Calibri" w:hAnsi="Calibri"/>
          <w:b/>
          <w:bCs/>
          <w:color w:val="006D6D"/>
          <w:sz w:val="26"/>
          <w:szCs w:val="26"/>
        </w:rPr>
        <w:t xml:space="preserve">10.1 Rating: HOLD</w:t>
      </w:r>
    </w:p>
    <w:p>
      <w:pPr>
        <w:spacing w:after="160"/>
        <w:jc w:val="both"/>
      </w:pPr>
      <w:r>
        <w:rPr>
          <w:rFonts w:ascii="Calibri" w:cs="Calibri" w:eastAsia="Calibri" w:hAnsi="Calibri"/>
          <w:color w:val="1A1A1A"/>
          <w:sz w:val="22"/>
          <w:szCs w:val="22"/>
        </w:rPr>
        <w:t xml:space="preserve">We initiate coverage with a </w:t>
      </w:r>
      <w:r>
        <w:rPr>
          <w:rFonts w:ascii="Calibri" w:cs="Calibri" w:eastAsia="Calibri" w:hAnsi="Calibri"/>
          <w:b/>
          <w:bCs/>
          <w:color w:val="1A1A1A"/>
          <w:sz w:val="22"/>
          <w:szCs w:val="22"/>
        </w:rPr>
        <w:t xml:space="preserve">HOLD</w:t>
      </w:r>
      <w:r>
        <w:rPr>
          <w:rFonts w:ascii="Calibri" w:cs="Calibri" w:eastAsia="Calibri" w:hAnsi="Calibri"/>
          <w:color w:val="1A1A1A"/>
          <w:sz w:val="22"/>
          <w:szCs w:val="22"/>
        </w:rPr>
        <w:t xml:space="preserve"> rating. The current price of $259.02 is approximately 17% below our risk-adjusted fair value midpoint of $313, which technically meets the threshold for a BUY (&gt;15% discount). However, we assign HOLD because: (1) 2026 outlook is binary—small MCR slippage creates material downside; (2) the $5.3B annual risk budget is unusually large relative to $16B FCF; and (3) the reverse DCF shows the market is already pricing a pessimistic scenario, meaning limited downside protection if the variant thesis plays out.</w:t>
      </w:r>
    </w:p>
    <w:p>
      <w:pPr>
        <w:pStyle w:val="Heading2"/>
        <w:spacing w:after="160" w:before="280"/>
      </w:pPr>
      <w:r>
        <w:rPr>
          <w:rFonts w:ascii="Calibri" w:cs="Calibri" w:eastAsia="Calibri" w:hAnsi="Calibri"/>
          <w:b/>
          <w:bCs/>
          <w:color w:val="006D6D"/>
          <w:sz w:val="26"/>
          <w:szCs w:val="26"/>
        </w:rPr>
        <w:t xml:space="preserve">10.2 Probability-Weighted Scenario Table</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1300"/>
        <w:gridCol w:w="900"/>
        <w:gridCol w:w="1300"/>
        <w:gridCol w:w="1300"/>
        <w:gridCol w:w="1200"/>
        <w:gridCol w:w="1200"/>
      </w:tblGrid>
      <w:tr>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Scenario</w:t>
            </w:r>
          </w:p>
        </w:tc>
        <w:tc>
          <w:tcPr>
            <w:tcW w:type="dxa" w:w="9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Prob.</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Revenue</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EBITDA</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FCF</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Price</w:t>
            </w:r>
          </w:p>
        </w:tc>
      </w:tr>
      <w:tr>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Bull</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$465B</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$42B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$420</w:t>
            </w:r>
          </w:p>
        </w:tc>
      </w:tr>
      <w:tr>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Base</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50%</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$440B</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$37B</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$17B</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$325</w:t>
            </w:r>
          </w:p>
        </w:tc>
      </w:tr>
      <w:tr>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Bear</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$435B</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$14B</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$220</w:t>
            </w:r>
          </w:p>
        </w:tc>
      </w:tr>
      <w:tr>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Severe</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$430B</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$28B</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$11B</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$175</w:t>
            </w:r>
          </w:p>
        </w:tc>
      </w:tr>
      <w:tr>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Weighted</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$325</w:t>
            </w:r>
          </w:p>
        </w:tc>
      </w:tr>
    </w:tbl>
    <w:p>
      <w:pPr>
        <w:spacing w:after="100"/>
      </w:pPr>
      <w:r>
        <w:rPr>
          <w:rFonts w:ascii="Calibri" w:cs="Calibri" w:eastAsia="Calibri" w:hAnsi="Calibri"/>
          <w:i/>
          <w:iCs/>
          <w:color w:val="666666"/>
          <w:sz w:val="18"/>
          <w:szCs w:val="18"/>
        </w:rPr>
        <w:t xml:space="preserve">Source: DCF model; scenario analysis based on Quartr data and risk quantification.</w:t>
      </w:r>
    </w:p>
    <w:p>
      <w:pPr>
        <w:spacing w:after="160"/>
        <w:jc w:val="both"/>
      </w:pPr>
      <w:r>
        <w:rPr>
          <w:rFonts w:ascii="Calibri" w:cs="Calibri" w:eastAsia="Calibri" w:hAnsi="Calibri"/>
          <w:color w:val="1A1A1A"/>
          <w:sz w:val="22"/>
          <w:szCs w:val="22"/>
        </w:rPr>
        <w:t xml:space="preserve">Probability-weighted fair value of $325 is 25% above current price ($259). However, bear case ($220, 20% probability) implies 15% downside, and severe case ($175, 5%) implies 33% downside. Risk-reward is asymmetric but not compelling enough for BUY.</w:t>
      </w:r>
    </w:p>
    <w:p>
      <w:pPr>
        <w:pStyle w:val="Heading2"/>
        <w:spacing w:after="160" w:before="280"/>
      </w:pPr>
      <w:r>
        <w:rPr>
          <w:rFonts w:ascii="Calibri" w:cs="Calibri" w:eastAsia="Calibri" w:hAnsi="Calibri"/>
          <w:b/>
          <w:bCs/>
          <w:color w:val="006D6D"/>
          <w:sz w:val="26"/>
          <w:szCs w:val="26"/>
        </w:rPr>
        <w:t xml:space="preserve">10.3 Fair Value Range</w:t>
      </w:r>
    </w:p>
    <w:p>
      <w:pPr>
        <w:spacing w:after="160"/>
        <w:jc w:val="both"/>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$280–$370 per share.</w:t>
      </w:r>
      <w:r>
        <w:rPr>
          <w:rFonts w:ascii="Calibri" w:cs="Calibri" w:eastAsia="Calibri" w:hAnsi="Calibri"/>
          <w:color w:val="1A1A1A"/>
          <w:sz w:val="22"/>
          <w:szCs w:val="22"/>
        </w:rPr>
        <w:t xml:space="preserve"> Lower bound: DCF bear cross-checked with margin-adjusted comps. Upper bound: DCF base with lower WACC and stronger terminal growth. Midpoint: $325 probability-weighted.</w:t>
      </w:r>
    </w:p>
    <w:p>
      <w:pPr>
        <w:pStyle w:val="Heading2"/>
        <w:spacing w:after="160" w:before="280"/>
      </w:pPr>
      <w:r>
        <w:rPr>
          <w:rFonts w:ascii="Calibri" w:cs="Calibri" w:eastAsia="Calibri" w:hAnsi="Calibri"/>
          <w:b/>
          <w:bCs/>
          <w:color w:val="006D6D"/>
          <w:sz w:val="26"/>
          <w:szCs w:val="26"/>
        </w:rPr>
        <w:t xml:space="preserve">10.4 Rating-Change Triggers</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Upgrade to BUY:</w:t>
      </w:r>
      <w:r>
        <w:rPr>
          <w:rFonts w:ascii="Calibri" w:cs="Calibri" w:eastAsia="Calibri" w:hAnsi="Calibri"/>
          <w:color w:val="1A1A1A"/>
          <w:sz w:val="22"/>
          <w:szCs w:val="22"/>
        </w:rPr>
        <w:t xml:space="preserve"> Q1 2026 MCR ≤ 88.5% AND management reaffirms $17.75+ EPS without qualification. Date: April 22, 2026. Confirms MCR stabilization.</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Downgrade to SELL:</w:t>
      </w:r>
      <w:r>
        <w:rPr>
          <w:rFonts w:ascii="Calibri" w:cs="Calibri" w:eastAsia="Calibri" w:hAnsi="Calibri"/>
          <w:color w:val="1A1A1A"/>
          <w:sz w:val="22"/>
          <w:szCs w:val="22"/>
        </w:rPr>
        <w:t xml:space="preserve"> Q1 2026 MCR &gt; 89.5% OR EPS guidance revised below $16.50. Date: April 22, 2026. Confirms structural inflation.</w:t>
      </w:r>
    </w:p>
    <w:p>
      <w:pPr>
        <w:pStyle w:val="ListParagraph"/>
        <w:numPr>
          <w:ilvl w:val="0"/>
          <w:numId w:val="2"/>
        </w:numPr>
        <w:spacing w:after="80"/>
      </w:pPr>
      <w:r>
        <w:rPr>
          <w:rFonts w:ascii="Calibri" w:cs="Calibri" w:eastAsia="Calibri" w:hAnsi="Calibri"/>
          <w:color w:val="1A1A1A"/>
          <w:sz w:val="22"/>
          <w:szCs w:val="22"/>
        </w:rPr>
        <w:t xml:space="preserve"/>
      </w:r>
      <w:r>
        <w:rPr>
          <w:rFonts w:ascii="Calibri" w:cs="Calibri" w:eastAsia="Calibri" w:hAnsi="Calibri"/>
          <w:b/>
          <w:bCs/>
          <w:color w:val="1A1A1A"/>
          <w:sz w:val="22"/>
          <w:szCs w:val="22"/>
        </w:rPr>
        <w:t xml:space="preserve">Data-release trigger:</w:t>
      </w:r>
      <w:r>
        <w:rPr>
          <w:rFonts w:ascii="Calibri" w:cs="Calibri" w:eastAsia="Calibri" w:hAnsi="Calibri"/>
          <w:color w:val="1A1A1A"/>
          <w:sz w:val="22"/>
          <w:szCs w:val="22"/>
        </w:rPr>
        <w:t xml:space="preserve"> Optum Health operating margin disclosure. If &lt;2%, integration thesis challenged—downgrade regardless of headline MCR.</w:t>
      </w:r>
    </w:p>
    <w:p>
      <w:r>
        <w:br w:type="page"/>
      </w:r>
    </w:p>
    <w:p>
      <w:pPr>
        <w:pStyle w:val="Heading1"/>
        <w:spacing w:after="200" w:before="360"/>
      </w:pPr>
      <w:r>
        <w:rPr>
          <w:rFonts w:ascii="Calibri" w:cs="Calibri" w:eastAsia="Calibri" w:hAnsi="Calibri"/>
          <w:b/>
          <w:bCs/>
          <w:color w:val="1A1A1A"/>
          <w:sz w:val="32"/>
          <w:szCs w:val="32"/>
        </w:rPr>
        <w:t xml:space="preserve">11. Appendix</w:t>
      </w:r>
    </w:p>
    <w:p>
      <w:pPr>
        <w:pStyle w:val="Heading2"/>
        <w:spacing w:after="160" w:before="280"/>
      </w:pPr>
      <w:r>
        <w:rPr>
          <w:rFonts w:ascii="Calibri" w:cs="Calibri" w:eastAsia="Calibri" w:hAnsi="Calibri"/>
          <w:b/>
          <w:bCs/>
          <w:color w:val="006D6D"/>
          <w:sz w:val="26"/>
          <w:szCs w:val="26"/>
        </w:rPr>
        <w:t xml:space="preserve">11.1 Risk Integration Table — Per-Share Impacts</w:t>
      </w:r>
    </w:p>
    <w:tbl>
      <w:tblPr>
        <w:tblW w:type="dxa" w:w="7000"/>
        <w:tblBorders>
          <w:top w:val="single" w:color="auto" w:sz="4"/>
          <w:left w:val="single" w:color="auto" w:sz="4"/>
          <w:bottom w:val="single" w:color="auto" w:sz="4"/>
          <w:right w:val="single" w:color="auto" w:sz="4"/>
          <w:insideH w:val="single" w:color="auto" w:sz="4"/>
          <w:insideV w:val="single" w:color="auto" w:sz="4"/>
        </w:tblBorders>
      </w:tblPr>
      <w:tblGrid>
        <w:gridCol w:w="1500"/>
        <w:gridCol w:w="800"/>
        <w:gridCol w:w="1100"/>
        <w:gridCol w:w="1100"/>
        <w:gridCol w:w="1200"/>
        <w:gridCol w:w="1300"/>
      </w:tblGrid>
      <w:tr>
        <w:tc>
          <w:tcPr>
            <w:tcW w:type="dxa" w:w="15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Risk</w:t>
            </w:r>
          </w:p>
        </w:tc>
        <w:tc>
          <w:tcPr>
            <w:tcW w:type="dxa" w:w="8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P(risk)</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FCF ($M)</w:t>
            </w:r>
          </w:p>
        </w:tc>
        <w:tc>
          <w:tcPr>
            <w:tcW w:type="dxa" w:w="11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NPV ($M)</w:t>
            </w:r>
          </w:p>
        </w:tc>
        <w:tc>
          <w:tcPr>
            <w:tcW w:type="dxa" w:w="12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Per-Share</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Haircut/Share</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MCR +100bps</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-$4,500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-$9,200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-$10.00</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-$2.50</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V28 Headwind</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-$2,400</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-$6,900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-$7.50</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-$2.63</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Cyber Tail</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-$800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-$1.09</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-$0.16</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Reg. Fine</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-$1,000</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-$2,700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-$2.93</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-$0.59</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Optum Health</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-$500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-$1,200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-$1.30</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-$0.39</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Member Churn</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-$600</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-$1.30</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-$0.33</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Specialty Pharma</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-$300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-$1.09</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-$0.43</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Total Oper.</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-$23,200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-$25.22</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-$7.03</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DOJ/CMS</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-$1,110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-$9,000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-$9.78</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-$3.91</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CEO Risk</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6%</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-$24</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-$0.22</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-$0.01</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Legislative</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35%</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-$1,168</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-$9,500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-$10.33</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-$3.62</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AI Disruption</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22%</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-$188</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-$1.63</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-$0.36</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MA Conc.</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30%</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-$123</w:t>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-$1,000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-$1.09</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-$0.33</w:t>
            </w:r>
          </w:p>
        </w:tc>
      </w:tr>
      <w:tr>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Total Suppl.</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-$21,200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-$23.04</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-$8.22</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GRAND TOTAL</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
            </w:r>
          </w:p>
        </w:tc>
        <w:tc>
          <w:tcPr>
            <w:tcW w:type="dxa" w:w="1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-$44,400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-$48.26</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-$15.25</w:t>
            </w:r>
          </w:p>
        </w:tc>
      </w:tr>
    </w:tbl>
    <w:p>
      <w:pPr>
        <w:spacing w:after="100"/>
      </w:pPr>
      <w:r>
        <w:rPr>
          <w:rFonts w:ascii="Calibri" w:cs="Calibri" w:eastAsia="Calibri" w:hAnsi="Calibri"/>
          <w:i/>
          <w:iCs/>
          <w:color w:val="666666"/>
          <w:sz w:val="18"/>
          <w:szCs w:val="18"/>
        </w:rPr>
        <w:t xml:space="preserve">Per-share = NPV / 920M shares. Haircut = per-share x probability. Diversified: ~$12/share (80% of sum).</w:t>
      </w:r>
    </w:p>
    <w:p>
      <w:pPr>
        <w:pStyle w:val="Heading2"/>
        <w:spacing w:after="160" w:before="280"/>
      </w:pPr>
      <w:r>
        <w:rPr>
          <w:rFonts w:ascii="Calibri" w:cs="Calibri" w:eastAsia="Calibri" w:hAnsi="Calibri"/>
          <w:b/>
          <w:bCs/>
          <w:color w:val="006D6D"/>
          <w:sz w:val="26"/>
          <w:szCs w:val="26"/>
        </w:rPr>
        <w:t xml:space="preserve">11.2 Key Management Quotes — Q4 2025 Earnings Call</w:t>
      </w:r>
    </w:p>
    <w:p>
      <w:pPr>
        <w:pStyle w:val="Heading3"/>
        <w:spacing w:after="120" w:before="200"/>
      </w:pPr>
      <w:r>
        <w:rPr>
          <w:rFonts w:ascii="Calibri" w:cs="Calibri" w:eastAsia="Calibri" w:hAnsi="Calibri"/>
          <w:b/>
          <w:bCs/>
          <w:color w:val="006D6D"/>
          <w:sz w:val="22"/>
          <w:szCs w:val="22"/>
        </w:rPr>
        <w:t xml:space="preserve">Stephen Hemsley (CEO)</w:t>
      </w:r>
    </w:p>
    <w:p>
      <w:pPr>
        <w:spacing w:after="160"/>
        <w:jc w:val="both"/>
      </w:pPr>
      <w:r>
        <w:rPr>
          <w:rFonts w:ascii="Calibri" w:cs="Calibri" w:eastAsia="Calibri" w:hAnsi="Calibri"/>
          <w:i/>
          <w:iCs/>
          <w:color w:val="1A1A1A"/>
          <w:sz w:val="22"/>
          <w:szCs w:val="22"/>
        </w:rPr>
        <w:t xml:space="preserve">“We are refocusing every element of our enterprise on our core health benefits and services capabilities. This means simplifying our organizational structure, investing in areas where we have distinctive competitive advantages, and exiting activities that do not contribute to our integrated care model.”</w:t>
      </w:r>
    </w:p>
    <w:p>
      <w:pPr>
        <w:pStyle w:val="Heading3"/>
        <w:spacing w:after="120" w:before="200"/>
      </w:pPr>
      <w:r>
        <w:rPr>
          <w:rFonts w:ascii="Calibri" w:cs="Calibri" w:eastAsia="Calibri" w:hAnsi="Calibri"/>
          <w:b/>
          <w:bCs/>
          <w:color w:val="006D6D"/>
          <w:sz w:val="22"/>
          <w:szCs w:val="22"/>
        </w:rPr>
        <w:t xml:space="preserve">Wayne DeVeydt (CFO)</w:t>
      </w:r>
    </w:p>
    <w:p>
      <w:pPr>
        <w:spacing w:after="160"/>
        <w:jc w:val="both"/>
      </w:pPr>
      <w:r>
        <w:rPr>
          <w:rFonts w:ascii="Calibri" w:cs="Calibri" w:eastAsia="Calibri" w:hAnsi="Calibri"/>
          <w:i/>
          <w:iCs/>
          <w:color w:val="1A1A1A"/>
          <w:sz w:val="22"/>
          <w:szCs w:val="22"/>
        </w:rPr>
        <w:t xml:space="preserve">“For 2025, consolidated revenues of $447.6 billion grew $47 billion, or 12 percent year-over-year. Full-year adjusted earnings of $16.35 per share fell below our expectations, reflecting the impact of elevated medical cost trends and the costs of the meaningful business actions we undertook.”</w:t>
      </w:r>
    </w:p>
    <w:p>
      <w:pPr>
        <w:spacing w:after="160"/>
        <w:jc w:val="both"/>
      </w:pPr>
      <w:r>
        <w:rPr>
          <w:rFonts w:ascii="Calibri" w:cs="Calibri" w:eastAsia="Calibri" w:hAnsi="Calibri"/>
          <w:i/>
          <w:iCs/>
          <w:color w:val="1A1A1A"/>
          <w:sz w:val="22"/>
          <w:szCs w:val="22"/>
        </w:rPr>
        <w:t xml:space="preserve">“Looking to 2026, we expect adjusted net earnings of $17.75 to $18.25 per share. This outlook reflects the benefits of the significant restructuring actions undertaken in 2025, continued growth in our Optum businesses, and a medical care ratio in the range of 88.8 percent plus or minus 50 basis points.”</w:t>
      </w:r>
    </w:p>
    <w:p>
      <w:pPr>
        <w:pStyle w:val="Heading3"/>
        <w:spacing w:after="120" w:before="200"/>
      </w:pPr>
      <w:r>
        <w:rPr>
          <w:rFonts w:ascii="Calibri" w:cs="Calibri" w:eastAsia="Calibri" w:hAnsi="Calibri"/>
          <w:b/>
          <w:bCs/>
          <w:color w:val="006D6D"/>
          <w:sz w:val="22"/>
          <w:szCs w:val="22"/>
        </w:rPr>
        <w:t xml:space="preserve">Timothy Noel (CEO, UnitedHealthcare)</w:t>
      </w:r>
    </w:p>
    <w:p>
      <w:pPr>
        <w:spacing w:after="160"/>
        <w:jc w:val="both"/>
      </w:pPr>
      <w:r>
        <w:rPr>
          <w:rFonts w:ascii="Calibri" w:cs="Calibri" w:eastAsia="Calibri" w:hAnsi="Calibri"/>
          <w:i/>
          <w:iCs/>
          <w:color w:val="1A1A1A"/>
          <w:sz w:val="22"/>
          <w:szCs w:val="22"/>
        </w:rPr>
        <w:t xml:space="preserve">“For full year 2026, we expect to serve between 47.0 and 47.5 million people across our benefits businesses. We expect the contraction of about 1.3 to 1.4 million people in our Medicare Advantage plans, primarily driven by the inadequacy of CMS rate actions relative to the medical cost trends we are experiencing.”</w:t>
      </w:r>
    </w:p>
    <w:p>
      <w:pPr>
        <w:pStyle w:val="Heading3"/>
        <w:spacing w:after="120" w:before="200"/>
      </w:pPr>
      <w:r>
        <w:rPr>
          <w:rFonts w:ascii="Calibri" w:cs="Calibri" w:eastAsia="Calibri" w:hAnsi="Calibri"/>
          <w:b/>
          <w:bCs/>
          <w:color w:val="006D6D"/>
          <w:sz w:val="22"/>
          <w:szCs w:val="22"/>
        </w:rPr>
        <w:t xml:space="preserve">Patrick Conway (CEO, Optum)</w:t>
      </w:r>
    </w:p>
    <w:p>
      <w:pPr>
        <w:spacing w:after="160"/>
        <w:jc w:val="both"/>
      </w:pPr>
      <w:r>
        <w:rPr>
          <w:rFonts w:ascii="Calibri" w:cs="Calibri" w:eastAsia="Calibri" w:hAnsi="Calibri"/>
          <w:i/>
          <w:iCs/>
          <w:color w:val="1A1A1A"/>
          <w:sz w:val="22"/>
          <w:szCs w:val="22"/>
        </w:rPr>
        <w:t xml:space="preserve">“We expect Optum to achieve an operating margin of 7 to 8 percent in 2026, driven by continued growth in our technology and pharmacy care services, as well as benefits from the organizational actions we took late in 2025.”</w:t>
      </w:r>
    </w:p>
    <w:p>
      <w:pPr>
        <w:pStyle w:val="Heading3"/>
        <w:spacing w:after="120" w:before="200"/>
      </w:pPr>
      <w:r>
        <w:rPr>
          <w:rFonts w:ascii="Calibri" w:cs="Calibri" w:eastAsia="Calibri" w:hAnsi="Calibri"/>
          <w:b/>
          <w:bCs/>
          <w:color w:val="006D6D"/>
          <w:sz w:val="22"/>
          <w:szCs w:val="22"/>
        </w:rPr>
        <w:t xml:space="preserve">Krista Nelson (CEO, OptumHealth)</w:t>
      </w:r>
    </w:p>
    <w:p>
      <w:pPr>
        <w:spacing w:after="160"/>
        <w:jc w:val="both"/>
      </w:pPr>
      <w:r>
        <w:rPr>
          <w:rFonts w:ascii="Calibri" w:cs="Calibri" w:eastAsia="Calibri" w:hAnsi="Calibri"/>
          <w:i/>
          <w:iCs/>
          <w:color w:val="1A1A1A"/>
          <w:sz w:val="22"/>
          <w:szCs w:val="22"/>
        </w:rPr>
        <w:t xml:space="preserve">“Our focus in 2026 is on delivering measurably better health outcomes through value-based care arrangements. We are streamlining our care delivery network to concentrate on markets and specialties where we can demonstrate the greatest impact on total cost of care.”</w:t>
      </w:r>
    </w:p>
    <w:p>
      <w:pPr>
        <w:spacing w:after="100"/>
      </w:pPr>
      <w:r>
        <w:rPr>
          <w:rFonts w:ascii="Calibri" w:cs="Calibri" w:eastAsia="Calibri" w:hAnsi="Calibri"/>
          <w:i/>
          <w:iCs/>
          <w:color w:val="666666"/>
          <w:sz w:val="18"/>
          <w:szCs w:val="18"/>
        </w:rPr>
        <w:t xml:space="preserve">Source: All quotes from Quartr — Q4 2025 Earnings Call Transcript (Document ID: 2675770).</w:t>
      </w:r>
    </w:p>
    <w:p>
      <w:pPr>
        <w:pStyle w:val="Heading2"/>
        <w:spacing w:after="160" w:before="280"/>
      </w:pPr>
      <w:r>
        <w:rPr>
          <w:rFonts w:ascii="Calibri" w:cs="Calibri" w:eastAsia="Calibri" w:hAnsi="Calibri"/>
          <w:b/>
          <w:bCs/>
          <w:color w:val="006D6D"/>
          <w:sz w:val="26"/>
          <w:szCs w:val="26"/>
        </w:rPr>
        <w:t xml:space="preserve">11.3 Source Log</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800"/>
        <w:gridCol w:w="1300"/>
        <w:gridCol w:w="1300"/>
        <w:gridCol w:w="3900"/>
      </w:tblGrid>
      <w:tr>
        <w:tc>
          <w:tcPr>
            <w:tcW w:type="dxa" w:w="28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Source</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Type</w:t>
            </w:r>
          </w:p>
        </w:tc>
        <w:tc>
          <w:tcPr>
            <w:tcW w:type="dxa" w:w="13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Date</w:t>
            </w:r>
          </w:p>
        </w:tc>
        <w:tc>
          <w:tcPr>
            <w:tcW w:type="dxa" w:w="3900"/>
            <w:tcBorders>
              <w:top w:val="single" w:color="CCCCCC" w:sz="1"/>
              <w:left w:val="single" w:color="CCCCCC" w:sz="1"/>
              <w:bottom w:val="single" w:color="CCCCCC" w:sz="1"/>
              <w:right w:val="single" w:color="CCCCCC" w:sz="1"/>
            </w:tcBorders>
            <w:shd w:fill="006D6D" w:val="clear"/>
            <w:tcMar>
              <w:top w:type="dxa" w:w="60"/>
              <w:left w:type="dxa" w:w="100"/>
              <w:bottom w:type="dxa" w:w="60"/>
              <w:right w:type="dxa" w:w="100"/>
            </w:tcMar>
          </w:tcPr>
          <w:p>
            <w:pPr>
              <w:jc w:val="center"/>
            </w:pPr>
            <w:r>
              <w:rPr>
                <w:rFonts w:ascii="Calibri" w:cs="Calibri" w:eastAsia="Calibri" w:hAnsi="Calibri"/>
                <w:b/>
                <w:bCs/>
                <w:color w:val="FFFFFF"/>
                <w:sz w:val="18"/>
                <w:szCs w:val="18"/>
              </w:rPr>
              <w:t xml:space="preserve">Usage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Quartr — 10-K FY2025</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Filing</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Feb 2026</w:t>
            </w:r>
          </w:p>
        </w:tc>
        <w:tc>
          <w:tcPr>
            <w:tcW w:type="dxa" w:w="3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Financials, segments, risk factors</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Quartr — 10-K FY2024</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Filing</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Feb 2025</w:t>
            </w:r>
          </w:p>
        </w:tc>
        <w:tc>
          <w:tcPr>
            <w:tcW w:type="dxa" w:w="3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Prior year, cyberattack disclosures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Quartr — 10-K FY2018–2023</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Filings</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Various</w:t>
            </w:r>
          </w:p>
        </w:tc>
        <w:tc>
          <w:tcPr>
            <w:tcW w:type="dxa" w:w="3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8-year financial history</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Quartr — Q4 2025 Call</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Transcript</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Jan 2026</w:t>
            </w:r>
          </w:p>
        </w:tc>
        <w:tc>
          <w:tcPr>
            <w:tcW w:type="dxa" w:w="3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Guidance, strategy, quotes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Quartr — Q3 2025 10-Q</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Filing</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Nov 2025</w:t>
            </w:r>
          </w:p>
        </w:tc>
        <w:tc>
          <w:tcPr>
            <w:tcW w:type="dxa" w:w="3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Quarterly data, MCR trends</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Quartr — Q3 2025 Call</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Transcript</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Oct 2025</w:t>
            </w:r>
          </w:p>
        </w:tc>
        <w:tc>
          <w:tcPr>
            <w:tcW w:type="dxa" w:w="3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Quarterly commentary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U.S. Treasury Yield</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Public</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Mar 2026</w:t>
            </w:r>
          </w:p>
        </w:tc>
        <w:tc>
          <w:tcPr>
            <w:tcW w:type="dxa" w:w="3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Risk-free rate (WACC)</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Market Data</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Public</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Mar 2026</w:t>
            </w:r>
          </w:p>
        </w:tc>
        <w:tc>
          <w:tcPr>
            <w:tcW w:type="dxa" w:w="3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Comparable company multiples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BLS Data</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Public</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2025</w:t>
            </w:r>
          </w:p>
        </w:tc>
        <w:tc>
          <w:tcPr>
            <w:tcW w:type="dxa" w:w="3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Nursing wage inflation</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Calibri" w:cs="Calibri" w:eastAsia="Calibri" w:hAnsi="Calibri"/>
                <w:b w:val="false"/>
                <w:bCs w:val="false"/>
                <w:color w:val="1A1A1A"/>
                <w:sz w:val="18"/>
                <w:szCs w:val="18"/>
              </w:rPr>
              <w:t xml:space="preserve">CMS Rate Notices</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Regulatory</w:t>
            </w:r>
          </w:p>
        </w:tc>
        <w:tc>
          <w:tcPr>
            <w:tcW w:type="dxa" w:w="13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Various</w:t>
            </w:r>
          </w:p>
        </w:tc>
        <w:tc>
          <w:tcPr>
            <w:tcW w:type="dxa" w:w="3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center"/>
            </w:pPr>
            <w:r>
              <w:rPr>
                <w:rFonts w:ascii="Calibri" w:cs="Calibri" w:eastAsia="Calibri" w:hAnsi="Calibri"/>
                <w:b w:val="false"/>
                <w:bCs w:val="false"/>
                <w:color w:val="1A1A1A"/>
                <w:sz w:val="18"/>
                <w:szCs w:val="18"/>
              </w:rPr>
              <w:t xml:space="preserve">V28, MA rate actions</w:t>
            </w:r>
          </w:p>
        </w:tc>
      </w:tr>
    </w:tbl>
    <w:p>
      <w:pPr>
        <w:spacing w:after="100"/>
      </w:pPr>
      <w:r>
        <w:rPr>
          <w:rFonts w:ascii="Calibri" w:cs="Calibri" w:eastAsia="Calibri" w:hAnsi="Calibri"/>
          <w:i/>
          <w:iCs/>
          <w:color w:val="666666"/>
          <w:sz w:val="18"/>
          <w:szCs w:val="18"/>
        </w:rPr>
        <w:t xml:space="preserve">All Quartr sources accessed via MCP integration, March 28, 2026.</w:t>
      </w:r>
    </w:p>
    <w:p>
      <w:pPr>
        <w:spacing w:after="80"/>
      </w:pPr>
    </w:p>
    <w:p>
      <w:pPr>
        <w:spacing w:before="400"/>
        <w:jc w:val="center"/>
      </w:pPr>
      <w:r>
        <w:rPr>
          <w:rFonts w:ascii="Calibri" w:cs="Calibri" w:eastAsia="Calibri" w:hAnsi="Calibri"/>
          <w:i/>
          <w:iCs/>
          <w:color w:val="888888"/>
          <w:sz w:val="22"/>
          <w:szCs w:val="22"/>
        </w:rPr>
        <w:t xml:space="preserve">— End of Report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rFonts w:ascii="Calibri" w:cs="Calibri" w:eastAsia="Calibri" w:hAnsi="Calibri"/>
        <w:color w:val="888888"/>
        <w:sz w:val="16"/>
        <w:szCs w:val="16"/>
      </w:rPr>
      <w:t xml:space="preserve">Page </w:t>
    </w:r>
    <w:r>
      <w:rPr>
        <w:rFonts w:ascii="Calibri" w:cs="Calibri" w:eastAsia="Calibri" w:hAnsi="Calibri"/>
        <w:color w:val="888888"/>
        <w:sz w:val="16"/>
        <w:szCs w:val="16"/>
      </w:rPr>
      <w:fldChar w:fldCharType="begin"/>
      <w:instrText xml:space="preserve">PAGE</w:instrText>
      <w:fldChar w:fldCharType="separate"/>
      <w:fldChar w:fldCharType="end"/>
    </w:r>
    <w:r>
      <w:rPr>
        <w:rFonts w:ascii="Calibri" w:cs="Calibri" w:eastAsia="Calibri" w:hAnsi="Calibri"/>
        <w:color w:val="888888"/>
        <w:sz w:val="16"/>
        <w:szCs w:val="16"/>
      </w:rPr>
      <w:t xml:space="preserve">  |  Confidential — For Institutional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6D6D" w:sz="6" w:space="4"/>
      </w:pBdr>
      <w:jc w:val="right"/>
    </w:pPr>
    <w:r>
      <w:rPr>
        <w:rFonts w:ascii="Calibri" w:cs="Calibri" w:eastAsia="Calibri" w:hAnsi="Calibri"/>
        <w:color w:val="888888"/>
        <w:sz w:val="16"/>
        <w:szCs w:val="16"/>
      </w:rPr>
      <w:t xml:space="preserve">UNH — Equity Research Initiation</w:t>
    </w:r>
    <w:r>
      <w:rPr>
        <w:rFonts w:ascii="Calibri" w:cs="Calibri" w:eastAsia="Calibri" w:hAnsi="Calibri"/>
        <w:color w:val="888888"/>
        <w:sz w:val="16"/>
        <w:szCs w:val="16"/>
      </w:rPr>
      <w:t xml:space="preserve">   |   March 28,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A1A1A"/>
      <w:sz w:val="32"/>
      <w:szCs w:val="32"/>
    </w:rPr>
  </w:style>
  <w:style w:type="paragraph" w:styleId="Heading2">
    <w:name w:val="Heading 2"/>
    <w:basedOn w:val="Normal"/>
    <w:next w:val="Normal"/>
    <w:qFormat/>
    <w:pPr>
      <w:spacing w:after="160" w:before="280"/>
      <w:outlineLvl w:val="1"/>
    </w:pPr>
    <w:rPr>
      <w:rFonts w:ascii="Calibri" w:cs="Calibri" w:eastAsia="Calibri" w:hAnsi="Calibri"/>
      <w:b/>
      <w:bCs/>
      <w:color w:val="006D6D"/>
      <w:sz w:val="26"/>
      <w:szCs w:val="26"/>
    </w:rPr>
  </w:style>
  <w:style w:type="paragraph" w:styleId="Heading3">
    <w:name w:val="Heading 3"/>
    <w:basedOn w:val="Normal"/>
    <w:next w:val="Normal"/>
    <w:qFormat/>
    <w:pPr>
      <w:spacing w:after="120" w:before="200"/>
      <w:outlineLvl w:val="2"/>
    </w:pPr>
    <w:rPr>
      <w:rFonts w:ascii="Calibri" w:cs="Calibri" w:eastAsia="Calibri" w:hAnsi="Calibri"/>
      <w:b/>
      <w:bCs/>
      <w:color w:val="006D6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2026-03-28T17:50:15.520Z</dcterms:created>
  <dcterms:modified xsi:type="dcterms:W3CDTF">2026-03-28T17:50:15.520Z</dcterms:modified>
</cp:coreProperties>
</file>

<file path=docProps/custom.xml><?xml version="1.0" encoding="utf-8"?>
<Properties xmlns="http://schemas.openxmlformats.org/officeDocument/2006/custom-properties" xmlns:vt="http://schemas.openxmlformats.org/officeDocument/2006/docPropsVTypes"/>
</file>